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A1E51" w14:textId="77777777" w:rsidR="005F5260" w:rsidRPr="004B0291" w:rsidRDefault="004B0291" w:rsidP="004B0291">
      <w:pPr>
        <w:spacing w:after="200" w:line="276" w:lineRule="auto"/>
        <w:jc w:val="center"/>
        <w:rPr>
          <w:b/>
        </w:rPr>
      </w:pPr>
      <w:bookmarkStart w:id="0" w:name="_GoBack"/>
      <w:bookmarkEnd w:id="0"/>
      <w:r w:rsidRPr="004B0291">
        <w:rPr>
          <w:b/>
        </w:rPr>
        <w:t>2019 - 2020 Seattle City Council Green Sheet</w:t>
      </w:r>
    </w:p>
    <w:p w14:paraId="6CC9D22E" w14:textId="77777777" w:rsidR="004B0291" w:rsidRPr="004B0291" w:rsidRDefault="004B0291" w:rsidP="004B0291">
      <w:pPr>
        <w:pStyle w:val="NoSpacing"/>
        <w:jc w:val="right"/>
      </w:pPr>
      <w:r w:rsidRPr="004B0291">
        <w:rPr>
          <w:b/>
        </w:rPr>
        <w:t>Ready for Notebook</w:t>
      </w:r>
    </w:p>
    <w:p w14:paraId="159116DD" w14:textId="77777777" w:rsidR="004B0291" w:rsidRPr="004B0291" w:rsidRDefault="004B0291" w:rsidP="004B0291">
      <w:pPr>
        <w:pStyle w:val="NoSpacing"/>
        <w:jc w:val="right"/>
      </w:pPr>
    </w:p>
    <w:tbl>
      <w:tblPr>
        <w:tblStyle w:val="TableGrid"/>
        <w:tblW w:w="0" w:type="auto"/>
        <w:tblLook w:val="04A0" w:firstRow="1" w:lastRow="0" w:firstColumn="1" w:lastColumn="0" w:noHBand="0" w:noVBand="1"/>
      </w:tblPr>
      <w:tblGrid>
        <w:gridCol w:w="1000"/>
        <w:gridCol w:w="1000"/>
        <w:gridCol w:w="1000"/>
        <w:gridCol w:w="1000"/>
      </w:tblGrid>
      <w:tr w:rsidR="004B0291" w:rsidRPr="004B0291" w14:paraId="61D8D930" w14:textId="77777777" w:rsidTr="004B0291">
        <w:tc>
          <w:tcPr>
            <w:tcW w:w="1000" w:type="dxa"/>
          </w:tcPr>
          <w:p w14:paraId="7A26E257" w14:textId="77777777" w:rsidR="004B0291" w:rsidRPr="004B0291" w:rsidRDefault="004B0291" w:rsidP="004B0291">
            <w:pPr>
              <w:pStyle w:val="NoSpacing"/>
              <w:jc w:val="center"/>
            </w:pPr>
            <w:r w:rsidRPr="004B0291">
              <w:t>Tab</w:t>
            </w:r>
          </w:p>
        </w:tc>
        <w:tc>
          <w:tcPr>
            <w:tcW w:w="1000" w:type="dxa"/>
          </w:tcPr>
          <w:p w14:paraId="40C61D70" w14:textId="77777777" w:rsidR="004B0291" w:rsidRPr="004B0291" w:rsidRDefault="004B0291" w:rsidP="004B0291">
            <w:pPr>
              <w:pStyle w:val="NoSpacing"/>
              <w:jc w:val="center"/>
            </w:pPr>
            <w:r w:rsidRPr="004B0291">
              <w:t>Action</w:t>
            </w:r>
          </w:p>
        </w:tc>
        <w:tc>
          <w:tcPr>
            <w:tcW w:w="1000" w:type="dxa"/>
          </w:tcPr>
          <w:p w14:paraId="0B643904" w14:textId="77777777" w:rsidR="004B0291" w:rsidRPr="004B0291" w:rsidRDefault="004B0291" w:rsidP="004B0291">
            <w:pPr>
              <w:pStyle w:val="NoSpacing"/>
              <w:jc w:val="center"/>
            </w:pPr>
            <w:r w:rsidRPr="004B0291">
              <w:t>Option</w:t>
            </w:r>
          </w:p>
        </w:tc>
        <w:tc>
          <w:tcPr>
            <w:tcW w:w="1000" w:type="dxa"/>
          </w:tcPr>
          <w:p w14:paraId="1EEC1470" w14:textId="77777777" w:rsidR="004B0291" w:rsidRPr="004B0291" w:rsidRDefault="004B0291" w:rsidP="004B0291">
            <w:pPr>
              <w:pStyle w:val="NoSpacing"/>
              <w:jc w:val="center"/>
            </w:pPr>
            <w:r w:rsidRPr="004B0291">
              <w:t>Version</w:t>
            </w:r>
          </w:p>
        </w:tc>
      </w:tr>
      <w:tr w:rsidR="004B0291" w:rsidRPr="004B0291" w14:paraId="5C1BFEA3" w14:textId="77777777" w:rsidTr="004B0291">
        <w:tc>
          <w:tcPr>
            <w:tcW w:w="1000" w:type="dxa"/>
          </w:tcPr>
          <w:p w14:paraId="5710F1BC" w14:textId="77777777" w:rsidR="004B0291" w:rsidRPr="004B0291" w:rsidRDefault="004B0291" w:rsidP="004B0291">
            <w:pPr>
              <w:pStyle w:val="NoSpacing"/>
              <w:jc w:val="center"/>
            </w:pPr>
            <w:r w:rsidRPr="004B0291">
              <w:t>14</w:t>
            </w:r>
          </w:p>
        </w:tc>
        <w:tc>
          <w:tcPr>
            <w:tcW w:w="1000" w:type="dxa"/>
          </w:tcPr>
          <w:p w14:paraId="40169755" w14:textId="77777777" w:rsidR="004B0291" w:rsidRPr="004B0291" w:rsidRDefault="004B0291" w:rsidP="004B0291">
            <w:pPr>
              <w:pStyle w:val="NoSpacing"/>
              <w:jc w:val="center"/>
            </w:pPr>
            <w:r w:rsidRPr="004B0291">
              <w:t>8</w:t>
            </w:r>
          </w:p>
        </w:tc>
        <w:tc>
          <w:tcPr>
            <w:tcW w:w="1000" w:type="dxa"/>
          </w:tcPr>
          <w:p w14:paraId="3DB87025" w14:textId="77777777" w:rsidR="004B0291" w:rsidRPr="004B0291" w:rsidRDefault="004B0291" w:rsidP="004B0291">
            <w:pPr>
              <w:pStyle w:val="NoSpacing"/>
              <w:jc w:val="center"/>
            </w:pPr>
            <w:r w:rsidRPr="004B0291">
              <w:t>E</w:t>
            </w:r>
          </w:p>
        </w:tc>
        <w:tc>
          <w:tcPr>
            <w:tcW w:w="1000" w:type="dxa"/>
          </w:tcPr>
          <w:p w14:paraId="67B3143B" w14:textId="77777777" w:rsidR="004B0291" w:rsidRPr="004B0291" w:rsidRDefault="004B0291" w:rsidP="004B0291">
            <w:pPr>
              <w:pStyle w:val="NoSpacing"/>
              <w:jc w:val="center"/>
            </w:pPr>
            <w:r w:rsidRPr="004B0291">
              <w:t>1</w:t>
            </w:r>
          </w:p>
        </w:tc>
      </w:tr>
    </w:tbl>
    <w:p w14:paraId="39049FF0" w14:textId="77777777" w:rsidR="004B0291" w:rsidRPr="004B0291" w:rsidRDefault="004B0291" w:rsidP="004B0291">
      <w:pPr>
        <w:pStyle w:val="NoSpacing"/>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200"/>
      </w:tblGrid>
      <w:tr w:rsidR="004B0291" w:rsidRPr="004B0291" w14:paraId="2B1FDFF9" w14:textId="77777777" w:rsidTr="004B0291">
        <w:tc>
          <w:tcPr>
            <w:tcW w:w="2700" w:type="dxa"/>
            <w:shd w:val="clear" w:color="auto" w:fill="auto"/>
          </w:tcPr>
          <w:p w14:paraId="0178832C" w14:textId="77777777" w:rsidR="004B0291" w:rsidRPr="004B0291" w:rsidRDefault="004B0291" w:rsidP="004B0291">
            <w:pPr>
              <w:pStyle w:val="NoSpacing"/>
            </w:pPr>
            <w:r w:rsidRPr="004B0291">
              <w:rPr>
                <w:b/>
              </w:rPr>
              <w:t xml:space="preserve">Budget Action Title: </w:t>
            </w:r>
          </w:p>
        </w:tc>
        <w:tc>
          <w:tcPr>
            <w:tcW w:w="7200" w:type="dxa"/>
            <w:shd w:val="clear" w:color="auto" w:fill="auto"/>
          </w:tcPr>
          <w:p w14:paraId="074CDF51" w14:textId="77777777" w:rsidR="004B0291" w:rsidRPr="004B0291" w:rsidRDefault="004B0291" w:rsidP="004B0291">
            <w:pPr>
              <w:pStyle w:val="NoSpacing"/>
            </w:pPr>
            <w:r w:rsidRPr="004B0291">
              <w:t>Rescind green sheet 14-8-B-1, add $269,500 SBT-backed appropriation in 2019 to HSD food banks, and impose two provisos.</w:t>
            </w:r>
          </w:p>
        </w:tc>
      </w:tr>
    </w:tbl>
    <w:p w14:paraId="00E0259F" w14:textId="77777777" w:rsidR="004B0291" w:rsidRPr="004B0291" w:rsidRDefault="004B0291" w:rsidP="004B0291">
      <w:pPr>
        <w:pStyle w:val="NoSpacing"/>
      </w:pPr>
    </w:p>
    <w:tbl>
      <w:tblPr>
        <w:tblStyle w:val="TableGrid"/>
        <w:tblW w:w="10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457"/>
        <w:gridCol w:w="2700"/>
        <w:gridCol w:w="2400"/>
      </w:tblGrid>
      <w:tr w:rsidR="004B0291" w:rsidRPr="004B0291" w14:paraId="71745BF5" w14:textId="77777777" w:rsidTr="004B0291">
        <w:tc>
          <w:tcPr>
            <w:tcW w:w="2700" w:type="dxa"/>
            <w:shd w:val="clear" w:color="auto" w:fill="auto"/>
          </w:tcPr>
          <w:p w14:paraId="320FEB8A" w14:textId="77777777" w:rsidR="004B0291" w:rsidRPr="004B0291" w:rsidRDefault="004B0291" w:rsidP="004B0291">
            <w:pPr>
              <w:pStyle w:val="NoSpacing"/>
            </w:pPr>
            <w:r w:rsidRPr="004B0291">
              <w:t xml:space="preserve">Ongoing: </w:t>
            </w:r>
          </w:p>
          <w:p w14:paraId="27CBD3C1" w14:textId="77777777" w:rsidR="004B0291" w:rsidRPr="004B0291" w:rsidRDefault="004B0291" w:rsidP="004B0291">
            <w:pPr>
              <w:pStyle w:val="NoSpacing"/>
            </w:pPr>
          </w:p>
        </w:tc>
        <w:tc>
          <w:tcPr>
            <w:tcW w:w="2457" w:type="dxa"/>
            <w:shd w:val="clear" w:color="auto" w:fill="auto"/>
          </w:tcPr>
          <w:p w14:paraId="51876CCD" w14:textId="77777777" w:rsidR="004B0291" w:rsidRPr="004B0291" w:rsidRDefault="004B0291" w:rsidP="004B0291">
            <w:pPr>
              <w:pStyle w:val="NoSpacing"/>
            </w:pPr>
            <w:r w:rsidRPr="004B0291">
              <w:t>No</w:t>
            </w:r>
          </w:p>
        </w:tc>
        <w:tc>
          <w:tcPr>
            <w:tcW w:w="2700" w:type="dxa"/>
            <w:shd w:val="clear" w:color="auto" w:fill="auto"/>
          </w:tcPr>
          <w:p w14:paraId="5365DE92" w14:textId="77777777" w:rsidR="004B0291" w:rsidRPr="004B0291" w:rsidRDefault="004B0291" w:rsidP="004B0291">
            <w:pPr>
              <w:pStyle w:val="NoSpacing"/>
            </w:pPr>
          </w:p>
        </w:tc>
        <w:tc>
          <w:tcPr>
            <w:tcW w:w="2400" w:type="dxa"/>
            <w:shd w:val="clear" w:color="auto" w:fill="auto"/>
          </w:tcPr>
          <w:p w14:paraId="061868AD" w14:textId="77777777" w:rsidR="004B0291" w:rsidRPr="004B0291" w:rsidRDefault="004B0291" w:rsidP="004B0291">
            <w:pPr>
              <w:pStyle w:val="NoSpacing"/>
            </w:pPr>
          </w:p>
        </w:tc>
      </w:tr>
      <w:tr w:rsidR="004B0291" w:rsidRPr="004B0291" w14:paraId="378AAE7C" w14:textId="77777777" w:rsidTr="004B0291">
        <w:tc>
          <w:tcPr>
            <w:tcW w:w="2700" w:type="dxa"/>
            <w:shd w:val="clear" w:color="auto" w:fill="auto"/>
          </w:tcPr>
          <w:p w14:paraId="17F8BF2A" w14:textId="77777777" w:rsidR="004B0291" w:rsidRPr="004B0291" w:rsidRDefault="004B0291" w:rsidP="004B0291">
            <w:pPr>
              <w:pStyle w:val="NoSpacing"/>
            </w:pPr>
            <w:r w:rsidRPr="004B0291">
              <w:t xml:space="preserve">Has CIP Amendment: </w:t>
            </w:r>
          </w:p>
        </w:tc>
        <w:tc>
          <w:tcPr>
            <w:tcW w:w="2457" w:type="dxa"/>
            <w:shd w:val="clear" w:color="auto" w:fill="auto"/>
          </w:tcPr>
          <w:p w14:paraId="3CCA7D28" w14:textId="77777777" w:rsidR="004B0291" w:rsidRPr="004B0291" w:rsidRDefault="004B0291" w:rsidP="004B0291">
            <w:pPr>
              <w:pStyle w:val="NoSpacing"/>
            </w:pPr>
            <w:r w:rsidRPr="004B0291">
              <w:t>No</w:t>
            </w:r>
          </w:p>
        </w:tc>
        <w:tc>
          <w:tcPr>
            <w:tcW w:w="2700" w:type="dxa"/>
            <w:shd w:val="clear" w:color="auto" w:fill="auto"/>
          </w:tcPr>
          <w:p w14:paraId="3F304BA3" w14:textId="77777777" w:rsidR="004B0291" w:rsidRPr="004B0291" w:rsidRDefault="004B0291" w:rsidP="004B0291">
            <w:pPr>
              <w:pStyle w:val="NoSpacing"/>
            </w:pPr>
            <w:r w:rsidRPr="004B0291">
              <w:t xml:space="preserve">Has Budget Proviso: </w:t>
            </w:r>
          </w:p>
        </w:tc>
        <w:tc>
          <w:tcPr>
            <w:tcW w:w="2400" w:type="dxa"/>
            <w:shd w:val="clear" w:color="auto" w:fill="auto"/>
          </w:tcPr>
          <w:p w14:paraId="3AD27977" w14:textId="77777777" w:rsidR="004B0291" w:rsidRPr="004B0291" w:rsidRDefault="004B0291" w:rsidP="004B0291">
            <w:pPr>
              <w:pStyle w:val="NoSpacing"/>
            </w:pPr>
            <w:r w:rsidRPr="004B0291">
              <w:t>Yes</w:t>
            </w:r>
          </w:p>
        </w:tc>
      </w:tr>
    </w:tbl>
    <w:p w14:paraId="5E54A63C" w14:textId="77777777" w:rsidR="004B0291" w:rsidRPr="004B0291" w:rsidRDefault="004B0291" w:rsidP="004B0291">
      <w:pPr>
        <w:pStyle w:val="NoSpacing"/>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200"/>
      </w:tblGrid>
      <w:tr w:rsidR="004B0291" w:rsidRPr="004B0291" w14:paraId="7EF84588" w14:textId="77777777" w:rsidTr="004B0291">
        <w:tc>
          <w:tcPr>
            <w:tcW w:w="2700" w:type="dxa"/>
            <w:shd w:val="clear" w:color="auto" w:fill="auto"/>
          </w:tcPr>
          <w:p w14:paraId="707A27CE" w14:textId="77777777" w:rsidR="004B0291" w:rsidRPr="004B0291" w:rsidRDefault="004B0291" w:rsidP="004B0291">
            <w:pPr>
              <w:pStyle w:val="NoSpacing"/>
            </w:pPr>
            <w:r w:rsidRPr="004B0291">
              <w:t xml:space="preserve">Primary Sponsor: </w:t>
            </w:r>
          </w:p>
          <w:p w14:paraId="19560C24" w14:textId="77777777" w:rsidR="004B0291" w:rsidRPr="004B0291" w:rsidRDefault="004B0291" w:rsidP="004B0291">
            <w:pPr>
              <w:pStyle w:val="NoSpacing"/>
            </w:pPr>
          </w:p>
        </w:tc>
        <w:tc>
          <w:tcPr>
            <w:tcW w:w="7200" w:type="dxa"/>
            <w:shd w:val="clear" w:color="auto" w:fill="auto"/>
          </w:tcPr>
          <w:p w14:paraId="151C6FC3" w14:textId="77777777" w:rsidR="004B0291" w:rsidRPr="004B0291" w:rsidRDefault="004B0291" w:rsidP="004B0291">
            <w:pPr>
              <w:pStyle w:val="NoSpacing"/>
            </w:pPr>
            <w:r w:rsidRPr="004B0291">
              <w:t>Budget Chair</w:t>
            </w:r>
          </w:p>
        </w:tc>
      </w:tr>
      <w:tr w:rsidR="004B0291" w:rsidRPr="004B0291" w14:paraId="6985D458" w14:textId="77777777" w:rsidTr="004B0291">
        <w:tc>
          <w:tcPr>
            <w:tcW w:w="2700" w:type="dxa"/>
            <w:shd w:val="clear" w:color="auto" w:fill="auto"/>
          </w:tcPr>
          <w:p w14:paraId="15906D5E" w14:textId="77777777" w:rsidR="004B0291" w:rsidRPr="004B0291" w:rsidRDefault="004B0291" w:rsidP="004B0291">
            <w:pPr>
              <w:pStyle w:val="NoSpacing"/>
            </w:pPr>
            <w:r w:rsidRPr="004B0291">
              <w:t xml:space="preserve">Councilmembers: </w:t>
            </w:r>
          </w:p>
          <w:p w14:paraId="60C06578" w14:textId="77777777" w:rsidR="004B0291" w:rsidRPr="004B0291" w:rsidRDefault="004B0291" w:rsidP="004B0291">
            <w:pPr>
              <w:pStyle w:val="NoSpacing"/>
            </w:pPr>
          </w:p>
        </w:tc>
        <w:tc>
          <w:tcPr>
            <w:tcW w:w="7200" w:type="dxa"/>
            <w:shd w:val="clear" w:color="auto" w:fill="auto"/>
          </w:tcPr>
          <w:p w14:paraId="5001A0E2" w14:textId="77777777" w:rsidR="004B0291" w:rsidRPr="004B0291" w:rsidRDefault="004B0291" w:rsidP="004B0291">
            <w:pPr>
              <w:pStyle w:val="NoSpacing"/>
            </w:pPr>
            <w:r w:rsidRPr="004B0291">
              <w:t>Juarez; O'Brien</w:t>
            </w:r>
          </w:p>
        </w:tc>
      </w:tr>
      <w:tr w:rsidR="004B0291" w:rsidRPr="004B0291" w14:paraId="70F32FBD" w14:textId="77777777" w:rsidTr="004B0291">
        <w:tc>
          <w:tcPr>
            <w:tcW w:w="2700" w:type="dxa"/>
            <w:shd w:val="clear" w:color="auto" w:fill="auto"/>
          </w:tcPr>
          <w:p w14:paraId="4E30106E" w14:textId="77777777" w:rsidR="004B0291" w:rsidRPr="004B0291" w:rsidRDefault="004B0291" w:rsidP="004B0291">
            <w:pPr>
              <w:pStyle w:val="NoSpacing"/>
            </w:pPr>
            <w:r w:rsidRPr="004B0291">
              <w:t>Staff Analyst:</w:t>
            </w:r>
          </w:p>
          <w:p w14:paraId="24F32B59" w14:textId="77777777" w:rsidR="004B0291" w:rsidRPr="004B0291" w:rsidRDefault="004B0291" w:rsidP="004B0291">
            <w:pPr>
              <w:pStyle w:val="NoSpacing"/>
            </w:pPr>
          </w:p>
        </w:tc>
        <w:tc>
          <w:tcPr>
            <w:tcW w:w="7200" w:type="dxa"/>
            <w:shd w:val="clear" w:color="auto" w:fill="auto"/>
          </w:tcPr>
          <w:p w14:paraId="1FD2B194" w14:textId="77777777" w:rsidR="004B0291" w:rsidRPr="004B0291" w:rsidRDefault="004B0291" w:rsidP="004B0291">
            <w:pPr>
              <w:pStyle w:val="NoSpacing"/>
            </w:pPr>
            <w:r w:rsidRPr="004B0291">
              <w:t>Jeff Simms</w:t>
            </w:r>
          </w:p>
        </w:tc>
      </w:tr>
      <w:tr w:rsidR="004B0291" w:rsidRPr="004B0291" w14:paraId="4E23969B" w14:textId="77777777" w:rsidTr="004B0291">
        <w:tc>
          <w:tcPr>
            <w:tcW w:w="2700" w:type="dxa"/>
            <w:shd w:val="clear" w:color="auto" w:fill="auto"/>
          </w:tcPr>
          <w:p w14:paraId="3C7B4F9C" w14:textId="77777777" w:rsidR="004B0291" w:rsidRPr="004B0291" w:rsidRDefault="004B0291" w:rsidP="004B0291">
            <w:pPr>
              <w:pStyle w:val="NoSpacing"/>
            </w:pPr>
            <w:r w:rsidRPr="004B0291">
              <w:t>Council Bill or Resolution:</w:t>
            </w:r>
          </w:p>
        </w:tc>
        <w:tc>
          <w:tcPr>
            <w:tcW w:w="7200" w:type="dxa"/>
            <w:shd w:val="clear" w:color="auto" w:fill="auto"/>
          </w:tcPr>
          <w:p w14:paraId="61A9E784" w14:textId="77777777" w:rsidR="004B0291" w:rsidRPr="004B0291" w:rsidRDefault="004B0291" w:rsidP="004B0291">
            <w:pPr>
              <w:pStyle w:val="NoSpacing"/>
            </w:pPr>
          </w:p>
        </w:tc>
      </w:tr>
    </w:tbl>
    <w:p w14:paraId="4655A87A" w14:textId="77777777" w:rsidR="004B0291" w:rsidRPr="004B0291" w:rsidRDefault="004B0291" w:rsidP="004B0291">
      <w:pPr>
        <w:pStyle w:val="NoSpacing"/>
      </w:pPr>
    </w:p>
    <w:tbl>
      <w:tblPr>
        <w:tblStyle w:val="TableGrid"/>
        <w:tblW w:w="0" w:type="auto"/>
        <w:tblLook w:val="04A0" w:firstRow="1" w:lastRow="0" w:firstColumn="1" w:lastColumn="0" w:noHBand="0" w:noVBand="1"/>
      </w:tblPr>
      <w:tblGrid>
        <w:gridCol w:w="816"/>
        <w:gridCol w:w="891"/>
        <w:gridCol w:w="812"/>
        <w:gridCol w:w="812"/>
        <w:gridCol w:w="813"/>
        <w:gridCol w:w="812"/>
        <w:gridCol w:w="812"/>
        <w:gridCol w:w="812"/>
        <w:gridCol w:w="811"/>
        <w:gridCol w:w="811"/>
        <w:gridCol w:w="815"/>
        <w:gridCol w:w="813"/>
      </w:tblGrid>
      <w:tr w:rsidR="004B0291" w:rsidRPr="004B0291" w14:paraId="55B79570" w14:textId="77777777" w:rsidTr="004B0291">
        <w:tc>
          <w:tcPr>
            <w:tcW w:w="816" w:type="dxa"/>
          </w:tcPr>
          <w:p w14:paraId="5F2D26F0" w14:textId="77777777" w:rsidR="004B0291" w:rsidRPr="004B0291" w:rsidRDefault="004B0291" w:rsidP="004B0291">
            <w:pPr>
              <w:pStyle w:val="NoSpacing"/>
            </w:pPr>
            <w:r w:rsidRPr="004B0291">
              <w:t>Date</w:t>
            </w:r>
          </w:p>
        </w:tc>
        <w:tc>
          <w:tcPr>
            <w:tcW w:w="891" w:type="dxa"/>
          </w:tcPr>
          <w:p w14:paraId="623B9E20" w14:textId="77777777" w:rsidR="004B0291" w:rsidRPr="004B0291" w:rsidRDefault="004B0291" w:rsidP="004B0291">
            <w:pPr>
              <w:pStyle w:val="NoSpacing"/>
            </w:pPr>
            <w:r w:rsidRPr="004B0291">
              <w:t>Total</w:t>
            </w:r>
          </w:p>
        </w:tc>
        <w:tc>
          <w:tcPr>
            <w:tcW w:w="812" w:type="dxa"/>
          </w:tcPr>
          <w:p w14:paraId="242E22C5" w14:textId="77777777" w:rsidR="004B0291" w:rsidRPr="004B0291" w:rsidRDefault="004B0291" w:rsidP="004B0291">
            <w:pPr>
              <w:pStyle w:val="NoSpacing"/>
            </w:pPr>
            <w:r w:rsidRPr="004B0291">
              <w:t>BC</w:t>
            </w:r>
          </w:p>
        </w:tc>
        <w:tc>
          <w:tcPr>
            <w:tcW w:w="812" w:type="dxa"/>
          </w:tcPr>
          <w:p w14:paraId="18F89DAF" w14:textId="77777777" w:rsidR="004B0291" w:rsidRPr="004B0291" w:rsidRDefault="004B0291" w:rsidP="004B0291">
            <w:pPr>
              <w:pStyle w:val="NoSpacing"/>
            </w:pPr>
            <w:r w:rsidRPr="004B0291">
              <w:t>SB</w:t>
            </w:r>
          </w:p>
        </w:tc>
        <w:tc>
          <w:tcPr>
            <w:tcW w:w="813" w:type="dxa"/>
          </w:tcPr>
          <w:p w14:paraId="14C60C4E" w14:textId="77777777" w:rsidR="004B0291" w:rsidRPr="004B0291" w:rsidRDefault="004B0291" w:rsidP="004B0291">
            <w:pPr>
              <w:pStyle w:val="NoSpacing"/>
            </w:pPr>
            <w:r w:rsidRPr="004B0291">
              <w:t>TM</w:t>
            </w:r>
          </w:p>
        </w:tc>
        <w:tc>
          <w:tcPr>
            <w:tcW w:w="812" w:type="dxa"/>
          </w:tcPr>
          <w:p w14:paraId="0CD2DBFD" w14:textId="77777777" w:rsidR="004B0291" w:rsidRPr="004B0291" w:rsidRDefault="004B0291" w:rsidP="004B0291">
            <w:pPr>
              <w:pStyle w:val="NoSpacing"/>
            </w:pPr>
            <w:r w:rsidRPr="004B0291">
              <w:t>LG</w:t>
            </w:r>
          </w:p>
        </w:tc>
        <w:tc>
          <w:tcPr>
            <w:tcW w:w="812" w:type="dxa"/>
          </w:tcPr>
          <w:p w14:paraId="104E2F9C" w14:textId="77777777" w:rsidR="004B0291" w:rsidRPr="004B0291" w:rsidRDefault="004B0291" w:rsidP="004B0291">
            <w:pPr>
              <w:pStyle w:val="NoSpacing"/>
            </w:pPr>
            <w:r w:rsidRPr="004B0291">
              <w:t>BH</w:t>
            </w:r>
          </w:p>
        </w:tc>
        <w:tc>
          <w:tcPr>
            <w:tcW w:w="812" w:type="dxa"/>
          </w:tcPr>
          <w:p w14:paraId="22853E14" w14:textId="77777777" w:rsidR="004B0291" w:rsidRPr="004B0291" w:rsidRDefault="004B0291" w:rsidP="004B0291">
            <w:pPr>
              <w:pStyle w:val="NoSpacing"/>
            </w:pPr>
            <w:r w:rsidRPr="004B0291">
              <w:t>LH</w:t>
            </w:r>
          </w:p>
        </w:tc>
        <w:tc>
          <w:tcPr>
            <w:tcW w:w="811" w:type="dxa"/>
          </w:tcPr>
          <w:p w14:paraId="6CAB46E7" w14:textId="77777777" w:rsidR="004B0291" w:rsidRPr="004B0291" w:rsidRDefault="004B0291" w:rsidP="004B0291">
            <w:pPr>
              <w:pStyle w:val="NoSpacing"/>
            </w:pPr>
            <w:r w:rsidRPr="004B0291">
              <w:t>RJ</w:t>
            </w:r>
          </w:p>
        </w:tc>
        <w:tc>
          <w:tcPr>
            <w:tcW w:w="811" w:type="dxa"/>
          </w:tcPr>
          <w:p w14:paraId="01CBEA42" w14:textId="77777777" w:rsidR="004B0291" w:rsidRPr="004B0291" w:rsidRDefault="004B0291" w:rsidP="004B0291">
            <w:pPr>
              <w:pStyle w:val="NoSpacing"/>
            </w:pPr>
            <w:r w:rsidRPr="004B0291">
              <w:t>DJ</w:t>
            </w:r>
          </w:p>
        </w:tc>
        <w:tc>
          <w:tcPr>
            <w:tcW w:w="815" w:type="dxa"/>
          </w:tcPr>
          <w:p w14:paraId="06E68D78" w14:textId="77777777" w:rsidR="004B0291" w:rsidRPr="004B0291" w:rsidRDefault="004B0291" w:rsidP="004B0291">
            <w:pPr>
              <w:pStyle w:val="NoSpacing"/>
            </w:pPr>
            <w:r w:rsidRPr="004B0291">
              <w:t>MO</w:t>
            </w:r>
          </w:p>
        </w:tc>
        <w:tc>
          <w:tcPr>
            <w:tcW w:w="813" w:type="dxa"/>
          </w:tcPr>
          <w:p w14:paraId="55CDDD82" w14:textId="77777777" w:rsidR="004B0291" w:rsidRPr="004B0291" w:rsidRDefault="004B0291" w:rsidP="004B0291">
            <w:pPr>
              <w:pStyle w:val="NoSpacing"/>
            </w:pPr>
            <w:r w:rsidRPr="004B0291">
              <w:t>KS</w:t>
            </w:r>
          </w:p>
        </w:tc>
      </w:tr>
      <w:tr w:rsidR="004B0291" w:rsidRPr="004B0291" w14:paraId="737647F8" w14:textId="77777777" w:rsidTr="004B0291">
        <w:tc>
          <w:tcPr>
            <w:tcW w:w="816" w:type="dxa"/>
            <w:vMerge w:val="restart"/>
          </w:tcPr>
          <w:p w14:paraId="7EECD6B4" w14:textId="77777777" w:rsidR="004B0291" w:rsidRPr="004B0291" w:rsidRDefault="004B0291" w:rsidP="004B0291">
            <w:pPr>
              <w:pStyle w:val="NoSpacing"/>
            </w:pPr>
          </w:p>
        </w:tc>
        <w:tc>
          <w:tcPr>
            <w:tcW w:w="891" w:type="dxa"/>
          </w:tcPr>
          <w:p w14:paraId="5EF5C29B" w14:textId="77777777" w:rsidR="004B0291" w:rsidRPr="004B0291" w:rsidRDefault="004B0291" w:rsidP="004B0291">
            <w:pPr>
              <w:pStyle w:val="NoSpacing"/>
            </w:pPr>
            <w:r w:rsidRPr="004B0291">
              <w:t>Yes</w:t>
            </w:r>
          </w:p>
        </w:tc>
        <w:tc>
          <w:tcPr>
            <w:tcW w:w="812" w:type="dxa"/>
          </w:tcPr>
          <w:p w14:paraId="1537A108" w14:textId="77777777" w:rsidR="004B0291" w:rsidRPr="004B0291" w:rsidRDefault="004B0291" w:rsidP="004B0291">
            <w:pPr>
              <w:pStyle w:val="NoSpacing"/>
            </w:pPr>
          </w:p>
        </w:tc>
        <w:tc>
          <w:tcPr>
            <w:tcW w:w="812" w:type="dxa"/>
          </w:tcPr>
          <w:p w14:paraId="122978E4" w14:textId="77777777" w:rsidR="004B0291" w:rsidRPr="004B0291" w:rsidRDefault="004B0291" w:rsidP="004B0291">
            <w:pPr>
              <w:pStyle w:val="NoSpacing"/>
            </w:pPr>
          </w:p>
        </w:tc>
        <w:tc>
          <w:tcPr>
            <w:tcW w:w="813" w:type="dxa"/>
          </w:tcPr>
          <w:p w14:paraId="5C0F7328" w14:textId="77777777" w:rsidR="004B0291" w:rsidRPr="004B0291" w:rsidRDefault="004B0291" w:rsidP="004B0291">
            <w:pPr>
              <w:pStyle w:val="NoSpacing"/>
            </w:pPr>
          </w:p>
        </w:tc>
        <w:tc>
          <w:tcPr>
            <w:tcW w:w="812" w:type="dxa"/>
          </w:tcPr>
          <w:p w14:paraId="57C1A570" w14:textId="77777777" w:rsidR="004B0291" w:rsidRPr="004B0291" w:rsidRDefault="004B0291" w:rsidP="004B0291">
            <w:pPr>
              <w:pStyle w:val="NoSpacing"/>
            </w:pPr>
          </w:p>
        </w:tc>
        <w:tc>
          <w:tcPr>
            <w:tcW w:w="812" w:type="dxa"/>
          </w:tcPr>
          <w:p w14:paraId="3AF4A6B5" w14:textId="77777777" w:rsidR="004B0291" w:rsidRPr="004B0291" w:rsidRDefault="004B0291" w:rsidP="004B0291">
            <w:pPr>
              <w:pStyle w:val="NoSpacing"/>
            </w:pPr>
          </w:p>
        </w:tc>
        <w:tc>
          <w:tcPr>
            <w:tcW w:w="812" w:type="dxa"/>
          </w:tcPr>
          <w:p w14:paraId="56AC529B" w14:textId="77777777" w:rsidR="004B0291" w:rsidRPr="004B0291" w:rsidRDefault="004B0291" w:rsidP="004B0291">
            <w:pPr>
              <w:pStyle w:val="NoSpacing"/>
            </w:pPr>
          </w:p>
        </w:tc>
        <w:tc>
          <w:tcPr>
            <w:tcW w:w="811" w:type="dxa"/>
          </w:tcPr>
          <w:p w14:paraId="2BE9F0E2" w14:textId="77777777" w:rsidR="004B0291" w:rsidRPr="004B0291" w:rsidRDefault="004B0291" w:rsidP="004B0291">
            <w:pPr>
              <w:pStyle w:val="NoSpacing"/>
            </w:pPr>
          </w:p>
        </w:tc>
        <w:tc>
          <w:tcPr>
            <w:tcW w:w="811" w:type="dxa"/>
          </w:tcPr>
          <w:p w14:paraId="48CAC925" w14:textId="77777777" w:rsidR="004B0291" w:rsidRPr="004B0291" w:rsidRDefault="004B0291" w:rsidP="004B0291">
            <w:pPr>
              <w:pStyle w:val="NoSpacing"/>
            </w:pPr>
          </w:p>
        </w:tc>
        <w:tc>
          <w:tcPr>
            <w:tcW w:w="815" w:type="dxa"/>
          </w:tcPr>
          <w:p w14:paraId="26936F61" w14:textId="77777777" w:rsidR="004B0291" w:rsidRPr="004B0291" w:rsidRDefault="004B0291" w:rsidP="004B0291">
            <w:pPr>
              <w:pStyle w:val="NoSpacing"/>
            </w:pPr>
          </w:p>
        </w:tc>
        <w:tc>
          <w:tcPr>
            <w:tcW w:w="813" w:type="dxa"/>
          </w:tcPr>
          <w:p w14:paraId="0124950A" w14:textId="77777777" w:rsidR="004B0291" w:rsidRPr="004B0291" w:rsidRDefault="004B0291" w:rsidP="004B0291">
            <w:pPr>
              <w:pStyle w:val="NoSpacing"/>
            </w:pPr>
          </w:p>
        </w:tc>
      </w:tr>
      <w:tr w:rsidR="004B0291" w:rsidRPr="004B0291" w14:paraId="497889B6" w14:textId="77777777" w:rsidTr="004B0291">
        <w:tc>
          <w:tcPr>
            <w:tcW w:w="816" w:type="dxa"/>
            <w:vMerge/>
          </w:tcPr>
          <w:p w14:paraId="1BB3DCCC" w14:textId="77777777" w:rsidR="004B0291" w:rsidRPr="004B0291" w:rsidRDefault="004B0291" w:rsidP="004B0291">
            <w:pPr>
              <w:pStyle w:val="NoSpacing"/>
            </w:pPr>
          </w:p>
        </w:tc>
        <w:tc>
          <w:tcPr>
            <w:tcW w:w="891" w:type="dxa"/>
          </w:tcPr>
          <w:p w14:paraId="5E2A4C1C" w14:textId="77777777" w:rsidR="004B0291" w:rsidRPr="004B0291" w:rsidRDefault="004B0291" w:rsidP="004B0291">
            <w:pPr>
              <w:pStyle w:val="NoSpacing"/>
            </w:pPr>
            <w:r w:rsidRPr="004B0291">
              <w:t>No</w:t>
            </w:r>
          </w:p>
        </w:tc>
        <w:tc>
          <w:tcPr>
            <w:tcW w:w="812" w:type="dxa"/>
          </w:tcPr>
          <w:p w14:paraId="17B6AB63" w14:textId="77777777" w:rsidR="004B0291" w:rsidRPr="004B0291" w:rsidRDefault="004B0291" w:rsidP="004B0291">
            <w:pPr>
              <w:pStyle w:val="NoSpacing"/>
            </w:pPr>
          </w:p>
        </w:tc>
        <w:tc>
          <w:tcPr>
            <w:tcW w:w="812" w:type="dxa"/>
          </w:tcPr>
          <w:p w14:paraId="55D9A6F1" w14:textId="77777777" w:rsidR="004B0291" w:rsidRPr="004B0291" w:rsidRDefault="004B0291" w:rsidP="004B0291">
            <w:pPr>
              <w:pStyle w:val="NoSpacing"/>
            </w:pPr>
          </w:p>
        </w:tc>
        <w:tc>
          <w:tcPr>
            <w:tcW w:w="813" w:type="dxa"/>
          </w:tcPr>
          <w:p w14:paraId="19E64B50" w14:textId="77777777" w:rsidR="004B0291" w:rsidRPr="004B0291" w:rsidRDefault="004B0291" w:rsidP="004B0291">
            <w:pPr>
              <w:pStyle w:val="NoSpacing"/>
            </w:pPr>
          </w:p>
        </w:tc>
        <w:tc>
          <w:tcPr>
            <w:tcW w:w="812" w:type="dxa"/>
          </w:tcPr>
          <w:p w14:paraId="32E3F4C9" w14:textId="77777777" w:rsidR="004B0291" w:rsidRPr="004B0291" w:rsidRDefault="004B0291" w:rsidP="004B0291">
            <w:pPr>
              <w:pStyle w:val="NoSpacing"/>
            </w:pPr>
          </w:p>
        </w:tc>
        <w:tc>
          <w:tcPr>
            <w:tcW w:w="812" w:type="dxa"/>
          </w:tcPr>
          <w:p w14:paraId="6E3289C0" w14:textId="77777777" w:rsidR="004B0291" w:rsidRPr="004B0291" w:rsidRDefault="004B0291" w:rsidP="004B0291">
            <w:pPr>
              <w:pStyle w:val="NoSpacing"/>
            </w:pPr>
          </w:p>
        </w:tc>
        <w:tc>
          <w:tcPr>
            <w:tcW w:w="812" w:type="dxa"/>
          </w:tcPr>
          <w:p w14:paraId="23DB7693" w14:textId="77777777" w:rsidR="004B0291" w:rsidRPr="004B0291" w:rsidRDefault="004B0291" w:rsidP="004B0291">
            <w:pPr>
              <w:pStyle w:val="NoSpacing"/>
            </w:pPr>
          </w:p>
        </w:tc>
        <w:tc>
          <w:tcPr>
            <w:tcW w:w="811" w:type="dxa"/>
          </w:tcPr>
          <w:p w14:paraId="3560A791" w14:textId="77777777" w:rsidR="004B0291" w:rsidRPr="004B0291" w:rsidRDefault="004B0291" w:rsidP="004B0291">
            <w:pPr>
              <w:pStyle w:val="NoSpacing"/>
            </w:pPr>
          </w:p>
        </w:tc>
        <w:tc>
          <w:tcPr>
            <w:tcW w:w="811" w:type="dxa"/>
          </w:tcPr>
          <w:p w14:paraId="58092810" w14:textId="77777777" w:rsidR="004B0291" w:rsidRPr="004B0291" w:rsidRDefault="004B0291" w:rsidP="004B0291">
            <w:pPr>
              <w:pStyle w:val="NoSpacing"/>
            </w:pPr>
          </w:p>
        </w:tc>
        <w:tc>
          <w:tcPr>
            <w:tcW w:w="815" w:type="dxa"/>
          </w:tcPr>
          <w:p w14:paraId="7252C51A" w14:textId="77777777" w:rsidR="004B0291" w:rsidRPr="004B0291" w:rsidRDefault="004B0291" w:rsidP="004B0291">
            <w:pPr>
              <w:pStyle w:val="NoSpacing"/>
            </w:pPr>
          </w:p>
        </w:tc>
        <w:tc>
          <w:tcPr>
            <w:tcW w:w="813" w:type="dxa"/>
          </w:tcPr>
          <w:p w14:paraId="6C6067BC" w14:textId="77777777" w:rsidR="004B0291" w:rsidRPr="004B0291" w:rsidRDefault="004B0291" w:rsidP="004B0291">
            <w:pPr>
              <w:pStyle w:val="NoSpacing"/>
            </w:pPr>
          </w:p>
        </w:tc>
      </w:tr>
      <w:tr w:rsidR="004B0291" w:rsidRPr="004B0291" w14:paraId="5FD756CF" w14:textId="77777777" w:rsidTr="004B0291">
        <w:tc>
          <w:tcPr>
            <w:tcW w:w="816" w:type="dxa"/>
            <w:vMerge/>
          </w:tcPr>
          <w:p w14:paraId="3047F30B" w14:textId="77777777" w:rsidR="004B0291" w:rsidRPr="004B0291" w:rsidRDefault="004B0291" w:rsidP="004B0291">
            <w:pPr>
              <w:pStyle w:val="NoSpacing"/>
            </w:pPr>
          </w:p>
        </w:tc>
        <w:tc>
          <w:tcPr>
            <w:tcW w:w="891" w:type="dxa"/>
          </w:tcPr>
          <w:p w14:paraId="5343C45D" w14:textId="77777777" w:rsidR="004B0291" w:rsidRPr="004B0291" w:rsidRDefault="004B0291" w:rsidP="004B0291">
            <w:pPr>
              <w:pStyle w:val="NoSpacing"/>
            </w:pPr>
            <w:r w:rsidRPr="004B0291">
              <w:t>Abstain</w:t>
            </w:r>
          </w:p>
        </w:tc>
        <w:tc>
          <w:tcPr>
            <w:tcW w:w="812" w:type="dxa"/>
          </w:tcPr>
          <w:p w14:paraId="69D0F5AE" w14:textId="77777777" w:rsidR="004B0291" w:rsidRPr="004B0291" w:rsidRDefault="004B0291" w:rsidP="004B0291">
            <w:pPr>
              <w:pStyle w:val="NoSpacing"/>
            </w:pPr>
          </w:p>
        </w:tc>
        <w:tc>
          <w:tcPr>
            <w:tcW w:w="812" w:type="dxa"/>
          </w:tcPr>
          <w:p w14:paraId="106E0282" w14:textId="77777777" w:rsidR="004B0291" w:rsidRPr="004B0291" w:rsidRDefault="004B0291" w:rsidP="004B0291">
            <w:pPr>
              <w:pStyle w:val="NoSpacing"/>
            </w:pPr>
          </w:p>
        </w:tc>
        <w:tc>
          <w:tcPr>
            <w:tcW w:w="813" w:type="dxa"/>
          </w:tcPr>
          <w:p w14:paraId="6762F716" w14:textId="77777777" w:rsidR="004B0291" w:rsidRPr="004B0291" w:rsidRDefault="004B0291" w:rsidP="004B0291">
            <w:pPr>
              <w:pStyle w:val="NoSpacing"/>
            </w:pPr>
          </w:p>
        </w:tc>
        <w:tc>
          <w:tcPr>
            <w:tcW w:w="812" w:type="dxa"/>
          </w:tcPr>
          <w:p w14:paraId="5AADFA3B" w14:textId="77777777" w:rsidR="004B0291" w:rsidRPr="004B0291" w:rsidRDefault="004B0291" w:rsidP="004B0291">
            <w:pPr>
              <w:pStyle w:val="NoSpacing"/>
            </w:pPr>
          </w:p>
        </w:tc>
        <w:tc>
          <w:tcPr>
            <w:tcW w:w="812" w:type="dxa"/>
          </w:tcPr>
          <w:p w14:paraId="5F659135" w14:textId="77777777" w:rsidR="004B0291" w:rsidRPr="004B0291" w:rsidRDefault="004B0291" w:rsidP="004B0291">
            <w:pPr>
              <w:pStyle w:val="NoSpacing"/>
            </w:pPr>
          </w:p>
        </w:tc>
        <w:tc>
          <w:tcPr>
            <w:tcW w:w="812" w:type="dxa"/>
          </w:tcPr>
          <w:p w14:paraId="56808E0C" w14:textId="77777777" w:rsidR="004B0291" w:rsidRPr="004B0291" w:rsidRDefault="004B0291" w:rsidP="004B0291">
            <w:pPr>
              <w:pStyle w:val="NoSpacing"/>
            </w:pPr>
          </w:p>
        </w:tc>
        <w:tc>
          <w:tcPr>
            <w:tcW w:w="811" w:type="dxa"/>
          </w:tcPr>
          <w:p w14:paraId="1CD63C80" w14:textId="77777777" w:rsidR="004B0291" w:rsidRPr="004B0291" w:rsidRDefault="004B0291" w:rsidP="004B0291">
            <w:pPr>
              <w:pStyle w:val="NoSpacing"/>
            </w:pPr>
          </w:p>
        </w:tc>
        <w:tc>
          <w:tcPr>
            <w:tcW w:w="811" w:type="dxa"/>
          </w:tcPr>
          <w:p w14:paraId="61DBC1AE" w14:textId="77777777" w:rsidR="004B0291" w:rsidRPr="004B0291" w:rsidRDefault="004B0291" w:rsidP="004B0291">
            <w:pPr>
              <w:pStyle w:val="NoSpacing"/>
            </w:pPr>
          </w:p>
        </w:tc>
        <w:tc>
          <w:tcPr>
            <w:tcW w:w="815" w:type="dxa"/>
          </w:tcPr>
          <w:p w14:paraId="46A21F7B" w14:textId="77777777" w:rsidR="004B0291" w:rsidRPr="004B0291" w:rsidRDefault="004B0291" w:rsidP="004B0291">
            <w:pPr>
              <w:pStyle w:val="NoSpacing"/>
            </w:pPr>
          </w:p>
        </w:tc>
        <w:tc>
          <w:tcPr>
            <w:tcW w:w="813" w:type="dxa"/>
          </w:tcPr>
          <w:p w14:paraId="549E8168" w14:textId="77777777" w:rsidR="004B0291" w:rsidRPr="004B0291" w:rsidRDefault="004B0291" w:rsidP="004B0291">
            <w:pPr>
              <w:pStyle w:val="NoSpacing"/>
            </w:pPr>
          </w:p>
        </w:tc>
      </w:tr>
      <w:tr w:rsidR="004B0291" w:rsidRPr="004B0291" w14:paraId="2ADFC252" w14:textId="77777777" w:rsidTr="004B0291">
        <w:tc>
          <w:tcPr>
            <w:tcW w:w="816" w:type="dxa"/>
            <w:vMerge/>
          </w:tcPr>
          <w:p w14:paraId="632A2FD8" w14:textId="77777777" w:rsidR="004B0291" w:rsidRPr="004B0291" w:rsidRDefault="004B0291" w:rsidP="004B0291">
            <w:pPr>
              <w:pStyle w:val="NoSpacing"/>
            </w:pPr>
          </w:p>
        </w:tc>
        <w:tc>
          <w:tcPr>
            <w:tcW w:w="891" w:type="dxa"/>
          </w:tcPr>
          <w:p w14:paraId="647A59D8" w14:textId="77777777" w:rsidR="004B0291" w:rsidRPr="004B0291" w:rsidRDefault="004B0291" w:rsidP="004B0291">
            <w:pPr>
              <w:pStyle w:val="NoSpacing"/>
            </w:pPr>
            <w:r w:rsidRPr="004B0291">
              <w:t>Absent</w:t>
            </w:r>
          </w:p>
        </w:tc>
        <w:tc>
          <w:tcPr>
            <w:tcW w:w="812" w:type="dxa"/>
          </w:tcPr>
          <w:p w14:paraId="44D58E48" w14:textId="77777777" w:rsidR="004B0291" w:rsidRPr="004B0291" w:rsidRDefault="004B0291" w:rsidP="004B0291">
            <w:pPr>
              <w:pStyle w:val="NoSpacing"/>
            </w:pPr>
          </w:p>
        </w:tc>
        <w:tc>
          <w:tcPr>
            <w:tcW w:w="812" w:type="dxa"/>
          </w:tcPr>
          <w:p w14:paraId="4FC03FB0" w14:textId="77777777" w:rsidR="004B0291" w:rsidRPr="004B0291" w:rsidRDefault="004B0291" w:rsidP="004B0291">
            <w:pPr>
              <w:pStyle w:val="NoSpacing"/>
            </w:pPr>
          </w:p>
        </w:tc>
        <w:tc>
          <w:tcPr>
            <w:tcW w:w="813" w:type="dxa"/>
          </w:tcPr>
          <w:p w14:paraId="1D58337B" w14:textId="77777777" w:rsidR="004B0291" w:rsidRPr="004B0291" w:rsidRDefault="004B0291" w:rsidP="004B0291">
            <w:pPr>
              <w:pStyle w:val="NoSpacing"/>
            </w:pPr>
          </w:p>
        </w:tc>
        <w:tc>
          <w:tcPr>
            <w:tcW w:w="812" w:type="dxa"/>
          </w:tcPr>
          <w:p w14:paraId="5BBBC8C7" w14:textId="77777777" w:rsidR="004B0291" w:rsidRPr="004B0291" w:rsidRDefault="004B0291" w:rsidP="004B0291">
            <w:pPr>
              <w:pStyle w:val="NoSpacing"/>
            </w:pPr>
          </w:p>
        </w:tc>
        <w:tc>
          <w:tcPr>
            <w:tcW w:w="812" w:type="dxa"/>
          </w:tcPr>
          <w:p w14:paraId="4E1264FE" w14:textId="77777777" w:rsidR="004B0291" w:rsidRPr="004B0291" w:rsidRDefault="004B0291" w:rsidP="004B0291">
            <w:pPr>
              <w:pStyle w:val="NoSpacing"/>
            </w:pPr>
          </w:p>
        </w:tc>
        <w:tc>
          <w:tcPr>
            <w:tcW w:w="812" w:type="dxa"/>
          </w:tcPr>
          <w:p w14:paraId="32B930ED" w14:textId="77777777" w:rsidR="004B0291" w:rsidRPr="004B0291" w:rsidRDefault="004B0291" w:rsidP="004B0291">
            <w:pPr>
              <w:pStyle w:val="NoSpacing"/>
            </w:pPr>
          </w:p>
        </w:tc>
        <w:tc>
          <w:tcPr>
            <w:tcW w:w="811" w:type="dxa"/>
          </w:tcPr>
          <w:p w14:paraId="0596C6F9" w14:textId="77777777" w:rsidR="004B0291" w:rsidRPr="004B0291" w:rsidRDefault="004B0291" w:rsidP="004B0291">
            <w:pPr>
              <w:pStyle w:val="NoSpacing"/>
            </w:pPr>
          </w:p>
        </w:tc>
        <w:tc>
          <w:tcPr>
            <w:tcW w:w="811" w:type="dxa"/>
          </w:tcPr>
          <w:p w14:paraId="045BEDE4" w14:textId="77777777" w:rsidR="004B0291" w:rsidRPr="004B0291" w:rsidRDefault="004B0291" w:rsidP="004B0291">
            <w:pPr>
              <w:pStyle w:val="NoSpacing"/>
            </w:pPr>
          </w:p>
        </w:tc>
        <w:tc>
          <w:tcPr>
            <w:tcW w:w="815" w:type="dxa"/>
          </w:tcPr>
          <w:p w14:paraId="55C1F67B" w14:textId="77777777" w:rsidR="004B0291" w:rsidRPr="004B0291" w:rsidRDefault="004B0291" w:rsidP="004B0291">
            <w:pPr>
              <w:pStyle w:val="NoSpacing"/>
            </w:pPr>
          </w:p>
        </w:tc>
        <w:tc>
          <w:tcPr>
            <w:tcW w:w="813" w:type="dxa"/>
          </w:tcPr>
          <w:p w14:paraId="0D199E6F" w14:textId="77777777" w:rsidR="004B0291" w:rsidRPr="004B0291" w:rsidRDefault="004B0291" w:rsidP="004B0291">
            <w:pPr>
              <w:pStyle w:val="NoSpacing"/>
            </w:pPr>
          </w:p>
        </w:tc>
      </w:tr>
    </w:tbl>
    <w:p w14:paraId="652E8DE4" w14:textId="77777777" w:rsidR="004B0291" w:rsidRPr="004B0291" w:rsidRDefault="004B0291" w:rsidP="004B0291">
      <w:pPr>
        <w:pStyle w:val="NoSpacing"/>
        <w:jc w:val="center"/>
        <w:rPr>
          <w:b/>
        </w:rPr>
      </w:pPr>
    </w:p>
    <w:p w14:paraId="46065652" w14:textId="77777777" w:rsidR="004B0291" w:rsidRPr="004B0291" w:rsidRDefault="004B0291" w:rsidP="004B0291">
      <w:pPr>
        <w:pStyle w:val="NoSpacing"/>
        <w:jc w:val="center"/>
        <w:rPr>
          <w:b/>
        </w:rPr>
      </w:pPr>
      <w:r w:rsidRPr="004B0291">
        <w:rPr>
          <w:b/>
        </w:rPr>
        <w:t>Summary of Dollar Effect</w:t>
      </w:r>
    </w:p>
    <w:p w14:paraId="7C2A503E" w14:textId="77777777" w:rsidR="004B0291" w:rsidRPr="004B0291" w:rsidRDefault="004B0291" w:rsidP="004B0291">
      <w:pPr>
        <w:pStyle w:val="NoSpacing"/>
        <w:jc w:val="center"/>
        <w:rPr>
          <w:i/>
          <w:sz w:val="20"/>
        </w:rPr>
      </w:pPr>
      <w:r w:rsidRPr="004B0291">
        <w:rPr>
          <w:i/>
          <w:sz w:val="18"/>
        </w:rPr>
        <w:t>See the following pages for detailed technical information</w:t>
      </w:r>
    </w:p>
    <w:tbl>
      <w:tblPr>
        <w:tblStyle w:val="TableGrid"/>
        <w:tblW w:w="0" w:type="auto"/>
        <w:shd w:val="clear" w:color="auto" w:fill="D9D9D9"/>
        <w:tblLook w:val="04A0" w:firstRow="1" w:lastRow="0" w:firstColumn="1" w:lastColumn="0" w:noHBand="0" w:noVBand="1"/>
      </w:tblPr>
      <w:tblGrid>
        <w:gridCol w:w="3276"/>
        <w:gridCol w:w="3277"/>
        <w:gridCol w:w="3277"/>
      </w:tblGrid>
      <w:tr w:rsidR="004B0291" w:rsidRPr="004B0291" w14:paraId="03A25030" w14:textId="77777777" w:rsidTr="004B0291">
        <w:trPr>
          <w:trHeight w:val="300"/>
        </w:trPr>
        <w:tc>
          <w:tcPr>
            <w:tcW w:w="3276" w:type="dxa"/>
            <w:tcBorders>
              <w:bottom w:val="single" w:sz="4" w:space="0" w:color="000000"/>
            </w:tcBorders>
            <w:shd w:val="clear" w:color="auto" w:fill="D9D9D9"/>
          </w:tcPr>
          <w:p w14:paraId="7E554D29" w14:textId="77777777" w:rsidR="004B0291" w:rsidRPr="004B0291" w:rsidRDefault="004B0291" w:rsidP="004B0291">
            <w:pPr>
              <w:pStyle w:val="NoSpacing"/>
              <w:rPr>
                <w:i/>
                <w:sz w:val="20"/>
              </w:rPr>
            </w:pPr>
          </w:p>
        </w:tc>
        <w:tc>
          <w:tcPr>
            <w:tcW w:w="3277" w:type="dxa"/>
            <w:tcBorders>
              <w:bottom w:val="single" w:sz="4" w:space="0" w:color="000000"/>
            </w:tcBorders>
            <w:shd w:val="clear" w:color="auto" w:fill="D9D9D9"/>
          </w:tcPr>
          <w:p w14:paraId="297E1ACD" w14:textId="77777777" w:rsidR="004B0291" w:rsidRPr="004B0291" w:rsidRDefault="004B0291" w:rsidP="004B0291">
            <w:pPr>
              <w:pStyle w:val="NoSpacing"/>
              <w:jc w:val="center"/>
              <w:rPr>
                <w:b/>
                <w:i/>
                <w:sz w:val="20"/>
              </w:rPr>
            </w:pPr>
            <w:r w:rsidRPr="004B0291">
              <w:rPr>
                <w:b/>
                <w:i/>
                <w:sz w:val="20"/>
              </w:rPr>
              <w:t>2019 Increase (Decrease)</w:t>
            </w:r>
          </w:p>
        </w:tc>
        <w:tc>
          <w:tcPr>
            <w:tcW w:w="3277" w:type="dxa"/>
            <w:tcBorders>
              <w:bottom w:val="single" w:sz="4" w:space="0" w:color="000000"/>
            </w:tcBorders>
            <w:shd w:val="clear" w:color="auto" w:fill="D9D9D9"/>
          </w:tcPr>
          <w:p w14:paraId="65D6FC84" w14:textId="77777777" w:rsidR="004B0291" w:rsidRPr="004B0291" w:rsidRDefault="004B0291" w:rsidP="004B0291">
            <w:pPr>
              <w:pStyle w:val="NoSpacing"/>
              <w:jc w:val="center"/>
              <w:rPr>
                <w:b/>
                <w:i/>
                <w:sz w:val="20"/>
              </w:rPr>
            </w:pPr>
            <w:r w:rsidRPr="004B0291">
              <w:rPr>
                <w:b/>
                <w:i/>
                <w:sz w:val="20"/>
              </w:rPr>
              <w:t>2020 Increase (Decrease)</w:t>
            </w:r>
          </w:p>
        </w:tc>
      </w:tr>
      <w:tr w:rsidR="004B0291" w:rsidRPr="004B0291" w14:paraId="616A84CC" w14:textId="77777777" w:rsidTr="004B0291">
        <w:trPr>
          <w:trHeight w:val="300"/>
        </w:trPr>
        <w:tc>
          <w:tcPr>
            <w:tcW w:w="3276" w:type="dxa"/>
            <w:tcBorders>
              <w:bottom w:val="single" w:sz="4" w:space="0" w:color="000000"/>
            </w:tcBorders>
            <w:shd w:val="clear" w:color="auto" w:fill="D9D9D9"/>
          </w:tcPr>
          <w:p w14:paraId="04EAFB10" w14:textId="77777777" w:rsidR="004B0291" w:rsidRPr="004B0291" w:rsidRDefault="004B0291" w:rsidP="004B0291">
            <w:pPr>
              <w:pStyle w:val="NoSpacing"/>
              <w:rPr>
                <w:b/>
                <w:i/>
                <w:sz w:val="20"/>
              </w:rPr>
            </w:pPr>
            <w:r w:rsidRPr="004B0291">
              <w:rPr>
                <w:b/>
                <w:i/>
                <w:sz w:val="20"/>
              </w:rPr>
              <w:t xml:space="preserve">General </w:t>
            </w:r>
            <w:proofErr w:type="spellStart"/>
            <w:r w:rsidRPr="004B0291">
              <w:rPr>
                <w:b/>
                <w:i/>
                <w:sz w:val="20"/>
              </w:rPr>
              <w:t>Subfund</w:t>
            </w:r>
            <w:proofErr w:type="spellEnd"/>
          </w:p>
        </w:tc>
        <w:tc>
          <w:tcPr>
            <w:tcW w:w="3277" w:type="dxa"/>
            <w:tcBorders>
              <w:bottom w:val="single" w:sz="4" w:space="0" w:color="000000"/>
            </w:tcBorders>
            <w:shd w:val="clear" w:color="auto" w:fill="D9D9D9"/>
          </w:tcPr>
          <w:p w14:paraId="45AE3C13" w14:textId="77777777" w:rsidR="004B0291" w:rsidRPr="004B0291" w:rsidRDefault="004B0291" w:rsidP="004B0291">
            <w:pPr>
              <w:pStyle w:val="NoSpacing"/>
              <w:jc w:val="right"/>
              <w:rPr>
                <w:b/>
                <w:i/>
                <w:sz w:val="20"/>
              </w:rPr>
            </w:pPr>
          </w:p>
        </w:tc>
        <w:tc>
          <w:tcPr>
            <w:tcW w:w="3277" w:type="dxa"/>
            <w:tcBorders>
              <w:bottom w:val="single" w:sz="4" w:space="0" w:color="000000"/>
            </w:tcBorders>
            <w:shd w:val="clear" w:color="auto" w:fill="D9D9D9"/>
          </w:tcPr>
          <w:p w14:paraId="484385A2" w14:textId="77777777" w:rsidR="004B0291" w:rsidRPr="004B0291" w:rsidRDefault="004B0291" w:rsidP="004B0291">
            <w:pPr>
              <w:pStyle w:val="NoSpacing"/>
              <w:jc w:val="right"/>
              <w:rPr>
                <w:b/>
                <w:i/>
                <w:sz w:val="20"/>
              </w:rPr>
            </w:pPr>
          </w:p>
        </w:tc>
      </w:tr>
      <w:tr w:rsidR="004B0291" w:rsidRPr="004B0291" w14:paraId="3CCFDE4C" w14:textId="77777777" w:rsidTr="004B0291">
        <w:trPr>
          <w:trHeight w:val="300"/>
        </w:trPr>
        <w:tc>
          <w:tcPr>
            <w:tcW w:w="3276" w:type="dxa"/>
            <w:shd w:val="clear" w:color="auto" w:fill="FFFFFF"/>
          </w:tcPr>
          <w:p w14:paraId="4E7563FE" w14:textId="77777777" w:rsidR="004B0291" w:rsidRPr="004B0291" w:rsidRDefault="004B0291" w:rsidP="004B0291">
            <w:pPr>
              <w:pStyle w:val="NoSpacing"/>
              <w:jc w:val="right"/>
              <w:rPr>
                <w:b/>
                <w:i/>
                <w:sz w:val="20"/>
              </w:rPr>
            </w:pPr>
            <w:r w:rsidRPr="004B0291">
              <w:rPr>
                <w:b/>
                <w:i/>
                <w:sz w:val="20"/>
              </w:rPr>
              <w:t xml:space="preserve">General </w:t>
            </w:r>
            <w:proofErr w:type="spellStart"/>
            <w:r w:rsidRPr="004B0291">
              <w:rPr>
                <w:b/>
                <w:i/>
                <w:sz w:val="20"/>
              </w:rPr>
              <w:t>Subfund</w:t>
            </w:r>
            <w:proofErr w:type="spellEnd"/>
            <w:r w:rsidRPr="004B0291">
              <w:rPr>
                <w:b/>
                <w:i/>
                <w:sz w:val="20"/>
              </w:rPr>
              <w:t xml:space="preserve"> Revenues</w:t>
            </w:r>
          </w:p>
        </w:tc>
        <w:tc>
          <w:tcPr>
            <w:tcW w:w="3277" w:type="dxa"/>
            <w:shd w:val="clear" w:color="auto" w:fill="FFFFFF"/>
          </w:tcPr>
          <w:p w14:paraId="0889F7F8" w14:textId="77777777" w:rsidR="004B0291" w:rsidRPr="004B0291" w:rsidRDefault="004B0291" w:rsidP="004B0291">
            <w:pPr>
              <w:pStyle w:val="NoSpacing"/>
              <w:jc w:val="right"/>
              <w:rPr>
                <w:i/>
                <w:sz w:val="20"/>
              </w:rPr>
            </w:pPr>
            <w:r w:rsidRPr="004B0291">
              <w:rPr>
                <w:i/>
                <w:sz w:val="20"/>
              </w:rPr>
              <w:t>$0</w:t>
            </w:r>
          </w:p>
        </w:tc>
        <w:tc>
          <w:tcPr>
            <w:tcW w:w="3277" w:type="dxa"/>
            <w:shd w:val="clear" w:color="auto" w:fill="FFFFFF"/>
          </w:tcPr>
          <w:p w14:paraId="2FFA9FC4" w14:textId="77777777" w:rsidR="004B0291" w:rsidRPr="004B0291" w:rsidRDefault="004B0291" w:rsidP="004B0291">
            <w:pPr>
              <w:pStyle w:val="NoSpacing"/>
              <w:jc w:val="right"/>
              <w:rPr>
                <w:b/>
                <w:i/>
                <w:sz w:val="20"/>
              </w:rPr>
            </w:pPr>
            <w:r w:rsidRPr="004B0291">
              <w:rPr>
                <w:b/>
                <w:i/>
                <w:sz w:val="20"/>
              </w:rPr>
              <w:t>$0</w:t>
            </w:r>
          </w:p>
        </w:tc>
      </w:tr>
      <w:tr w:rsidR="004B0291" w:rsidRPr="004B0291" w14:paraId="3BFB8330" w14:textId="77777777" w:rsidTr="004B0291">
        <w:trPr>
          <w:trHeight w:val="300"/>
        </w:trPr>
        <w:tc>
          <w:tcPr>
            <w:tcW w:w="3276" w:type="dxa"/>
            <w:shd w:val="clear" w:color="auto" w:fill="FFFFFF"/>
          </w:tcPr>
          <w:p w14:paraId="0D8FD704" w14:textId="77777777" w:rsidR="004B0291" w:rsidRPr="004B0291" w:rsidRDefault="004B0291" w:rsidP="004B0291">
            <w:pPr>
              <w:pStyle w:val="NoSpacing"/>
              <w:jc w:val="right"/>
              <w:rPr>
                <w:b/>
                <w:i/>
                <w:sz w:val="20"/>
                <w:u w:val="single"/>
              </w:rPr>
            </w:pPr>
            <w:r w:rsidRPr="004B0291">
              <w:rPr>
                <w:b/>
                <w:i/>
                <w:sz w:val="20"/>
                <w:u w:val="single"/>
              </w:rPr>
              <w:t xml:space="preserve">General </w:t>
            </w:r>
            <w:proofErr w:type="spellStart"/>
            <w:r w:rsidRPr="004B0291">
              <w:rPr>
                <w:b/>
                <w:i/>
                <w:sz w:val="20"/>
                <w:u w:val="single"/>
              </w:rPr>
              <w:t>Subfund</w:t>
            </w:r>
            <w:proofErr w:type="spellEnd"/>
            <w:r w:rsidRPr="004B0291">
              <w:rPr>
                <w:b/>
                <w:i/>
                <w:sz w:val="20"/>
                <w:u w:val="single"/>
              </w:rPr>
              <w:t xml:space="preserve"> Expenditures</w:t>
            </w:r>
          </w:p>
        </w:tc>
        <w:tc>
          <w:tcPr>
            <w:tcW w:w="3277" w:type="dxa"/>
            <w:shd w:val="clear" w:color="auto" w:fill="FFFFFF"/>
          </w:tcPr>
          <w:p w14:paraId="623859EA" w14:textId="77777777" w:rsidR="004B0291" w:rsidRPr="004B0291" w:rsidRDefault="004B0291" w:rsidP="004B0291">
            <w:pPr>
              <w:pStyle w:val="NoSpacing"/>
              <w:jc w:val="right"/>
              <w:rPr>
                <w:i/>
                <w:sz w:val="20"/>
                <w:u w:val="single"/>
              </w:rPr>
            </w:pPr>
            <w:r w:rsidRPr="004B0291">
              <w:rPr>
                <w:i/>
                <w:sz w:val="20"/>
                <w:u w:val="single"/>
              </w:rPr>
              <w:t>$269,500</w:t>
            </w:r>
          </w:p>
        </w:tc>
        <w:tc>
          <w:tcPr>
            <w:tcW w:w="3277" w:type="dxa"/>
            <w:shd w:val="clear" w:color="auto" w:fill="FFFFFF"/>
          </w:tcPr>
          <w:p w14:paraId="26DE5F52" w14:textId="77777777" w:rsidR="004B0291" w:rsidRPr="004B0291" w:rsidRDefault="004B0291" w:rsidP="004B0291">
            <w:pPr>
              <w:pStyle w:val="NoSpacing"/>
              <w:jc w:val="right"/>
              <w:rPr>
                <w:b/>
                <w:i/>
                <w:sz w:val="20"/>
                <w:u w:val="single"/>
              </w:rPr>
            </w:pPr>
            <w:r w:rsidRPr="004B0291">
              <w:rPr>
                <w:b/>
                <w:i/>
                <w:sz w:val="20"/>
                <w:u w:val="single"/>
              </w:rPr>
              <w:t>$0</w:t>
            </w:r>
          </w:p>
        </w:tc>
      </w:tr>
      <w:tr w:rsidR="004B0291" w:rsidRPr="004B0291" w14:paraId="564431AE" w14:textId="77777777" w:rsidTr="004B0291">
        <w:trPr>
          <w:trHeight w:val="300"/>
        </w:trPr>
        <w:tc>
          <w:tcPr>
            <w:tcW w:w="3276" w:type="dxa"/>
            <w:tcBorders>
              <w:bottom w:val="single" w:sz="4" w:space="0" w:color="000000"/>
            </w:tcBorders>
            <w:shd w:val="clear" w:color="auto" w:fill="FFFFFF"/>
          </w:tcPr>
          <w:p w14:paraId="3AE49D55" w14:textId="77777777" w:rsidR="004B0291" w:rsidRPr="004B0291" w:rsidRDefault="004B0291" w:rsidP="004B0291">
            <w:pPr>
              <w:pStyle w:val="NoSpacing"/>
              <w:jc w:val="right"/>
              <w:rPr>
                <w:b/>
                <w:i/>
                <w:sz w:val="20"/>
              </w:rPr>
            </w:pPr>
            <w:r w:rsidRPr="004B0291">
              <w:rPr>
                <w:b/>
                <w:i/>
                <w:sz w:val="20"/>
              </w:rPr>
              <w:t>Net Balance Effect</w:t>
            </w:r>
          </w:p>
        </w:tc>
        <w:tc>
          <w:tcPr>
            <w:tcW w:w="3277" w:type="dxa"/>
            <w:tcBorders>
              <w:bottom w:val="single" w:sz="4" w:space="0" w:color="000000"/>
            </w:tcBorders>
            <w:shd w:val="clear" w:color="auto" w:fill="FFFFFF"/>
          </w:tcPr>
          <w:p w14:paraId="6F7497FF" w14:textId="77777777" w:rsidR="004B0291" w:rsidRPr="004B0291" w:rsidRDefault="004B0291" w:rsidP="004B0291">
            <w:pPr>
              <w:pStyle w:val="NoSpacing"/>
              <w:jc w:val="right"/>
              <w:rPr>
                <w:b/>
                <w:i/>
                <w:sz w:val="20"/>
              </w:rPr>
            </w:pPr>
            <w:r w:rsidRPr="004B0291">
              <w:rPr>
                <w:b/>
                <w:i/>
                <w:sz w:val="20"/>
              </w:rPr>
              <w:t>($269,500)</w:t>
            </w:r>
          </w:p>
        </w:tc>
        <w:tc>
          <w:tcPr>
            <w:tcW w:w="3277" w:type="dxa"/>
            <w:tcBorders>
              <w:bottom w:val="single" w:sz="4" w:space="0" w:color="000000"/>
            </w:tcBorders>
            <w:shd w:val="clear" w:color="auto" w:fill="FFFFFF"/>
          </w:tcPr>
          <w:p w14:paraId="66F814D6" w14:textId="77777777" w:rsidR="004B0291" w:rsidRPr="004B0291" w:rsidRDefault="004B0291" w:rsidP="004B0291">
            <w:pPr>
              <w:pStyle w:val="NoSpacing"/>
              <w:jc w:val="right"/>
              <w:rPr>
                <w:i/>
                <w:sz w:val="20"/>
              </w:rPr>
            </w:pPr>
            <w:r w:rsidRPr="004B0291">
              <w:rPr>
                <w:i/>
                <w:sz w:val="20"/>
              </w:rPr>
              <w:t>$0</w:t>
            </w:r>
          </w:p>
        </w:tc>
      </w:tr>
      <w:tr w:rsidR="004B0291" w:rsidRPr="004B0291" w14:paraId="6BDBA8AC" w14:textId="77777777" w:rsidTr="004B0291">
        <w:trPr>
          <w:trHeight w:val="200"/>
        </w:trPr>
        <w:tc>
          <w:tcPr>
            <w:tcW w:w="3276" w:type="dxa"/>
            <w:tcBorders>
              <w:bottom w:val="single" w:sz="4" w:space="0" w:color="000000"/>
            </w:tcBorders>
            <w:shd w:val="clear" w:color="auto" w:fill="FFFFFF"/>
          </w:tcPr>
          <w:p w14:paraId="1132B52F" w14:textId="77777777" w:rsidR="004B0291" w:rsidRPr="004B0291" w:rsidRDefault="004B0291" w:rsidP="004B0291">
            <w:pPr>
              <w:pStyle w:val="NoSpacing"/>
              <w:rPr>
                <w:b/>
                <w:i/>
                <w:sz w:val="20"/>
              </w:rPr>
            </w:pPr>
          </w:p>
        </w:tc>
        <w:tc>
          <w:tcPr>
            <w:tcW w:w="3277" w:type="dxa"/>
            <w:tcBorders>
              <w:bottom w:val="single" w:sz="4" w:space="0" w:color="000000"/>
            </w:tcBorders>
            <w:shd w:val="clear" w:color="auto" w:fill="FFFFFF"/>
          </w:tcPr>
          <w:p w14:paraId="615D7ECD" w14:textId="77777777" w:rsidR="004B0291" w:rsidRPr="004B0291" w:rsidRDefault="004B0291" w:rsidP="004B0291">
            <w:pPr>
              <w:pStyle w:val="NoSpacing"/>
              <w:jc w:val="right"/>
              <w:rPr>
                <w:b/>
                <w:i/>
                <w:sz w:val="20"/>
              </w:rPr>
            </w:pPr>
          </w:p>
        </w:tc>
        <w:tc>
          <w:tcPr>
            <w:tcW w:w="3277" w:type="dxa"/>
            <w:tcBorders>
              <w:bottom w:val="single" w:sz="4" w:space="0" w:color="000000"/>
            </w:tcBorders>
            <w:shd w:val="clear" w:color="auto" w:fill="FFFFFF"/>
          </w:tcPr>
          <w:p w14:paraId="5AD65730" w14:textId="77777777" w:rsidR="004B0291" w:rsidRPr="004B0291" w:rsidRDefault="004B0291" w:rsidP="004B0291">
            <w:pPr>
              <w:pStyle w:val="NoSpacing"/>
              <w:jc w:val="right"/>
              <w:rPr>
                <w:i/>
                <w:sz w:val="20"/>
              </w:rPr>
            </w:pPr>
          </w:p>
        </w:tc>
      </w:tr>
      <w:tr w:rsidR="004B0291" w:rsidRPr="004B0291" w14:paraId="53955F40" w14:textId="77777777" w:rsidTr="004B0291">
        <w:trPr>
          <w:trHeight w:val="300"/>
        </w:trPr>
        <w:tc>
          <w:tcPr>
            <w:tcW w:w="3276" w:type="dxa"/>
            <w:shd w:val="clear" w:color="auto" w:fill="D9D9D9"/>
          </w:tcPr>
          <w:p w14:paraId="64E2BF53" w14:textId="77777777" w:rsidR="004B0291" w:rsidRPr="004B0291" w:rsidRDefault="004B0291" w:rsidP="004B0291">
            <w:pPr>
              <w:pStyle w:val="NoSpacing"/>
              <w:rPr>
                <w:b/>
                <w:i/>
                <w:sz w:val="20"/>
              </w:rPr>
            </w:pPr>
            <w:r w:rsidRPr="004B0291">
              <w:rPr>
                <w:b/>
                <w:i/>
                <w:sz w:val="20"/>
              </w:rPr>
              <w:t>Total Budget Balance Effect</w:t>
            </w:r>
          </w:p>
        </w:tc>
        <w:tc>
          <w:tcPr>
            <w:tcW w:w="3277" w:type="dxa"/>
            <w:shd w:val="clear" w:color="auto" w:fill="D9D9D9"/>
          </w:tcPr>
          <w:p w14:paraId="69D2C245" w14:textId="77777777" w:rsidR="004B0291" w:rsidRPr="004B0291" w:rsidRDefault="004B0291" w:rsidP="004B0291">
            <w:pPr>
              <w:pStyle w:val="NoSpacing"/>
              <w:jc w:val="right"/>
              <w:rPr>
                <w:b/>
                <w:i/>
                <w:sz w:val="20"/>
              </w:rPr>
            </w:pPr>
            <w:r w:rsidRPr="004B0291">
              <w:rPr>
                <w:b/>
                <w:i/>
                <w:sz w:val="20"/>
              </w:rPr>
              <w:t>($269,500)</w:t>
            </w:r>
          </w:p>
        </w:tc>
        <w:tc>
          <w:tcPr>
            <w:tcW w:w="3277" w:type="dxa"/>
            <w:shd w:val="clear" w:color="auto" w:fill="D9D9D9"/>
          </w:tcPr>
          <w:p w14:paraId="5573B937" w14:textId="77777777" w:rsidR="004B0291" w:rsidRPr="004B0291" w:rsidRDefault="004B0291" w:rsidP="004B0291">
            <w:pPr>
              <w:pStyle w:val="NoSpacing"/>
              <w:jc w:val="right"/>
              <w:rPr>
                <w:b/>
                <w:i/>
                <w:sz w:val="20"/>
              </w:rPr>
            </w:pPr>
            <w:r w:rsidRPr="004B0291">
              <w:rPr>
                <w:b/>
                <w:i/>
                <w:sz w:val="20"/>
              </w:rPr>
              <w:t>$0</w:t>
            </w:r>
          </w:p>
        </w:tc>
      </w:tr>
    </w:tbl>
    <w:p w14:paraId="24740626" w14:textId="77777777" w:rsidR="004B0291" w:rsidRPr="004B0291" w:rsidRDefault="004B0291" w:rsidP="004B0291">
      <w:pPr>
        <w:pStyle w:val="NoSpacing"/>
        <w:jc w:val="right"/>
        <w:rPr>
          <w:i/>
          <w:sz w:val="20"/>
        </w:rPr>
      </w:pPr>
    </w:p>
    <w:p w14:paraId="121CA8DD" w14:textId="77777777" w:rsidR="004B0291" w:rsidRPr="004B0291" w:rsidRDefault="004B0291" w:rsidP="004B0291">
      <w:pPr>
        <w:pStyle w:val="NoSpacing"/>
      </w:pPr>
      <w:r w:rsidRPr="004B0291">
        <w:rPr>
          <w:b/>
          <w:i/>
        </w:rPr>
        <w:t>Budget Action description:</w:t>
      </w:r>
    </w:p>
    <w:p w14:paraId="7086DD94" w14:textId="77777777" w:rsidR="004B0291" w:rsidRPr="004B0291" w:rsidRDefault="004B0291" w:rsidP="004B0291">
      <w:pPr>
        <w:rPr>
          <w:rFonts w:cs="Calibri"/>
          <w:szCs w:val="22"/>
        </w:rPr>
      </w:pPr>
      <w:r w:rsidRPr="004B0291">
        <w:t xml:space="preserve">This green sheet rescinds green sheet 14-8-B-1 and adds $269,500 of Sweetened Beverage Tax (SBT) revenue in 2019 to the Human Services Department (HSD) for food banks. This increase is above the total appropriated for the food banks program in the 2019 Proposed Budget. The increase is offset by appropriating $269,500 in unallocated SBT revenue in 2019 and leaving unchanged the allocation of SBT revenue among HSD programs that is proposed in the Mayor's 2019-2020 Proposed Budget. In implementing the counter-marketing </w:t>
      </w:r>
      <w:r w:rsidRPr="004B0291">
        <w:rPr>
          <w:rFonts w:cs="Agency FB"/>
        </w:rPr>
        <w:t>campaigns,</w:t>
      </w:r>
      <w:r w:rsidRPr="004B0291">
        <w:t xml:space="preserve"> HSD is instructed to collaborate with the Department of Neighborhood's Community Liaisons program, as appropriate.</w:t>
      </w:r>
    </w:p>
    <w:p w14:paraId="00EF78EC" w14:textId="77777777" w:rsidR="004B0291" w:rsidRPr="004B0291" w:rsidRDefault="004B0291" w:rsidP="004B0291">
      <w:pPr>
        <w:rPr>
          <w:rFonts w:cs="Agency FB"/>
        </w:rPr>
      </w:pPr>
    </w:p>
    <w:p w14:paraId="7DFE9679" w14:textId="77777777" w:rsidR="004B0291" w:rsidRPr="004B0291" w:rsidRDefault="004B0291" w:rsidP="004B0291">
      <w:r w:rsidRPr="004B0291">
        <w:t>This green sheet imposes the following provisos:</w:t>
      </w:r>
    </w:p>
    <w:p w14:paraId="2ADFAEA0" w14:textId="77777777" w:rsidR="004B0291" w:rsidRPr="004B0291" w:rsidRDefault="004B0291" w:rsidP="004B0291">
      <w:pPr>
        <w:ind w:left="360"/>
        <w:rPr>
          <w:rFonts w:cs="Calibri"/>
          <w:szCs w:val="22"/>
        </w:rPr>
      </w:pPr>
      <w:r w:rsidRPr="004B0291">
        <w:lastRenderedPageBreak/>
        <w:t>"</w:t>
      </w:r>
      <w:r w:rsidRPr="004B0291">
        <w:rPr>
          <w:i/>
        </w:rPr>
        <w:t xml:space="preserve">Of the appropriation in the 2019 Budget for the Supporting Affordability and Livability Budget Summary Level, $1,728,468 of Sweetened Beverage Tax revenue is appropriated solely to fund the food banks </w:t>
      </w:r>
      <w:proofErr w:type="gramStart"/>
      <w:r w:rsidRPr="004B0291">
        <w:rPr>
          <w:i/>
        </w:rPr>
        <w:t>program, and</w:t>
      </w:r>
      <w:proofErr w:type="gramEnd"/>
      <w:r w:rsidRPr="004B0291">
        <w:rPr>
          <w:i/>
        </w:rPr>
        <w:t xml:space="preserve"> may be spent for no other purpose</w:t>
      </w:r>
      <w:r w:rsidRPr="004B0291">
        <w:t xml:space="preserve">." </w:t>
      </w:r>
    </w:p>
    <w:p w14:paraId="623AE925" w14:textId="77777777" w:rsidR="004B0291" w:rsidRPr="004B0291" w:rsidRDefault="004B0291" w:rsidP="004B0291">
      <w:pPr>
        <w:rPr>
          <w:rFonts w:cs="Calibri"/>
          <w:szCs w:val="22"/>
        </w:rPr>
      </w:pPr>
    </w:p>
    <w:p w14:paraId="090F130D" w14:textId="77777777" w:rsidR="004B0291" w:rsidRPr="004B0291" w:rsidRDefault="004B0291" w:rsidP="004B0291">
      <w:pPr>
        <w:ind w:left="360"/>
        <w:rPr>
          <w:rFonts w:cs="Calibri"/>
          <w:szCs w:val="22"/>
        </w:rPr>
      </w:pPr>
      <w:r w:rsidRPr="004B0291">
        <w:rPr>
          <w:rFonts w:cs="Calibri"/>
          <w:szCs w:val="22"/>
        </w:rPr>
        <w:t>"</w:t>
      </w:r>
      <w:r w:rsidRPr="004B0291">
        <w:rPr>
          <w:rFonts w:cs="Calibri"/>
          <w:i/>
          <w:szCs w:val="22"/>
        </w:rPr>
        <w:t xml:space="preserve">Of the appropriation in 2019 for the Human Services Department, no Sweetened Beverage Tax funds provided for media campaigns may be spent until approved by ordinance.  Council expects to lift the proviso after a report has been submitted and approved by the Finance and Neighborhoods Committee specifying the Department's plans for these funds, including the types of activities that will be supported, the types of entities that will be eligible to apply, and how the Department or </w:t>
      </w:r>
      <w:proofErr w:type="spellStart"/>
      <w:r w:rsidRPr="004B0291">
        <w:rPr>
          <w:rFonts w:cs="Calibri"/>
          <w:i/>
          <w:szCs w:val="22"/>
        </w:rPr>
        <w:t>contractee</w:t>
      </w:r>
      <w:proofErr w:type="spellEnd"/>
      <w:r w:rsidRPr="004B0291">
        <w:rPr>
          <w:rFonts w:cs="Calibri"/>
          <w:i/>
          <w:szCs w:val="22"/>
        </w:rPr>
        <w:t xml:space="preserve"> will assure the language accessibility or the resulting activities and products, especially for </w:t>
      </w:r>
      <w:proofErr w:type="spellStart"/>
      <w:r w:rsidRPr="004B0291">
        <w:rPr>
          <w:rFonts w:cs="Calibri"/>
          <w:i/>
          <w:szCs w:val="22"/>
        </w:rPr>
        <w:t>non-english</w:t>
      </w:r>
      <w:proofErr w:type="spellEnd"/>
      <w:r w:rsidRPr="004B0291">
        <w:rPr>
          <w:rFonts w:cs="Calibri"/>
          <w:i/>
          <w:szCs w:val="22"/>
        </w:rPr>
        <w:t xml:space="preserve"> speaking low-income individuals.</w:t>
      </w:r>
      <w:r w:rsidRPr="004B0291">
        <w:rPr>
          <w:rFonts w:cs="Calibri"/>
          <w:szCs w:val="22"/>
        </w:rPr>
        <w:t xml:space="preserve">" </w:t>
      </w:r>
    </w:p>
    <w:p w14:paraId="225A8EB3" w14:textId="77777777" w:rsidR="004B0291" w:rsidRPr="004B0291" w:rsidRDefault="004B0291" w:rsidP="004B0291">
      <w:pPr>
        <w:rPr>
          <w:rFonts w:cs="Calibri"/>
          <w:szCs w:val="22"/>
        </w:rPr>
      </w:pPr>
    </w:p>
    <w:p w14:paraId="07212C9E" w14:textId="77777777" w:rsidR="004B0291" w:rsidRPr="004B0291" w:rsidRDefault="004B0291" w:rsidP="004B0291">
      <w:pPr>
        <w:rPr>
          <w:rFonts w:cs="Calibri"/>
          <w:szCs w:val="22"/>
        </w:rPr>
      </w:pPr>
    </w:p>
    <w:p w14:paraId="1EB956BB" w14:textId="77777777" w:rsidR="004B0291" w:rsidRPr="004B0291" w:rsidRDefault="004B0291" w:rsidP="004B0291">
      <w:pPr>
        <w:rPr>
          <w:rFonts w:cs="Calibri"/>
          <w:szCs w:val="22"/>
        </w:rPr>
      </w:pPr>
    </w:p>
    <w:p w14:paraId="474119A7" w14:textId="77777777" w:rsidR="004B0291" w:rsidRPr="004B0291" w:rsidRDefault="004B0291" w:rsidP="004B0291">
      <w:pPr>
        <w:rPr>
          <w:rFonts w:cs="Agency FB"/>
          <w:szCs w:val="22"/>
        </w:rPr>
      </w:pPr>
    </w:p>
    <w:p w14:paraId="2781EDB7" w14:textId="77777777" w:rsidR="004B0291" w:rsidRPr="004B0291" w:rsidRDefault="004B0291" w:rsidP="004B0291">
      <w:pPr>
        <w:rPr>
          <w:rFonts w:cs="Calibri"/>
          <w:szCs w:val="22"/>
        </w:rPr>
      </w:pPr>
    </w:p>
    <w:p w14:paraId="3E895B59" w14:textId="77777777" w:rsidR="004B0291" w:rsidRPr="004B0291" w:rsidRDefault="004B0291" w:rsidP="004B0291">
      <w:pPr>
        <w:rPr>
          <w:rFonts w:cs="Calibri"/>
          <w:szCs w:val="22"/>
        </w:rPr>
      </w:pPr>
    </w:p>
    <w:p w14:paraId="36824551" w14:textId="77777777" w:rsidR="004B0291" w:rsidRPr="004B0291" w:rsidRDefault="004B0291" w:rsidP="004B0291">
      <w:pPr>
        <w:rPr>
          <w:rFonts w:cs="Calibri"/>
          <w:szCs w:val="22"/>
        </w:rPr>
      </w:pPr>
    </w:p>
    <w:p w14:paraId="3EAA020D" w14:textId="77777777" w:rsidR="004B0291" w:rsidRPr="004B0291" w:rsidRDefault="004B0291" w:rsidP="004B0291">
      <w:pPr>
        <w:rPr>
          <w:rFonts w:cs="Calibri"/>
          <w:szCs w:val="22"/>
        </w:rPr>
      </w:pPr>
    </w:p>
    <w:p w14:paraId="1B1D8D75" w14:textId="77777777" w:rsidR="004B0291" w:rsidRPr="004B0291" w:rsidRDefault="004B0291" w:rsidP="004B0291">
      <w:pPr>
        <w:rPr>
          <w:rFonts w:cs="Calibri"/>
          <w:szCs w:val="22"/>
        </w:rPr>
      </w:pPr>
    </w:p>
    <w:p w14:paraId="57C88816" w14:textId="77777777" w:rsidR="004B0291" w:rsidRPr="004B0291" w:rsidRDefault="004B0291" w:rsidP="004B0291">
      <w:pPr>
        <w:rPr>
          <w:rFonts w:cs="Calibri"/>
          <w:szCs w:val="22"/>
        </w:rPr>
      </w:pPr>
    </w:p>
    <w:p w14:paraId="431991E1" w14:textId="77777777" w:rsidR="004B0291" w:rsidRDefault="004B0291" w:rsidP="004B0291">
      <w:pPr>
        <w:pStyle w:val="NoSpacing"/>
        <w:sectPr w:rsidR="004B0291" w:rsidSect="004B0291">
          <w:headerReference w:type="even" r:id="rId7"/>
          <w:headerReference w:type="default" r:id="rId8"/>
          <w:footerReference w:type="even" r:id="rId9"/>
          <w:footerReference w:type="default" r:id="rId10"/>
          <w:headerReference w:type="first" r:id="rId11"/>
          <w:footerReference w:type="first" r:id="rId12"/>
          <w:pgSz w:w="12240" w:h="15840"/>
          <w:pgMar w:top="1000" w:right="1200" w:bottom="1000" w:left="1200" w:header="720" w:footer="720" w:gutter="0"/>
          <w:cols w:space="720"/>
          <w:titlePg/>
          <w:docGrid w:linePitch="360"/>
        </w:sectPr>
      </w:pPr>
    </w:p>
    <w:p w14:paraId="46FE2F11" w14:textId="77777777" w:rsidR="004B0291" w:rsidRDefault="004B0291" w:rsidP="004B0291">
      <w:pPr>
        <w:pStyle w:val="NoSpacing"/>
        <w:jc w:val="center"/>
        <w:rPr>
          <w:b/>
          <w:sz w:val="20"/>
        </w:rPr>
      </w:pPr>
      <w:r>
        <w:rPr>
          <w:b/>
          <w:sz w:val="20"/>
        </w:rPr>
        <w:lastRenderedPageBreak/>
        <w:t>Budget Action Transactions</w:t>
      </w:r>
    </w:p>
    <w:p w14:paraId="20608036" w14:textId="77777777" w:rsidR="004B0291" w:rsidRDefault="004B0291" w:rsidP="004B0291">
      <w:pPr>
        <w:pStyle w:val="NoSpacing"/>
        <w:jc w:val="center"/>
        <w:rPr>
          <w:sz w:val="20"/>
        </w:rPr>
      </w:pPr>
    </w:p>
    <w:p w14:paraId="312353B6" w14:textId="77777777" w:rsidR="004B0291" w:rsidRDefault="004B0291" w:rsidP="004B0291">
      <w:pPr>
        <w:pStyle w:val="NoSpacing"/>
        <w:rPr>
          <w:sz w:val="20"/>
        </w:rPr>
      </w:pPr>
      <w:r>
        <w:rPr>
          <w:b/>
          <w:sz w:val="20"/>
        </w:rPr>
        <w:t xml:space="preserve">Budget Action Title: </w:t>
      </w:r>
      <w:r>
        <w:rPr>
          <w:b/>
          <w:sz w:val="20"/>
        </w:rPr>
        <w:tab/>
      </w:r>
      <w:r>
        <w:rPr>
          <w:sz w:val="20"/>
        </w:rPr>
        <w:t>Rescind green sheet 14-8-B-1, add $269,500 SBT-backed appropriation in 2019 to HSD food banks, and impose two provisos.</w:t>
      </w:r>
    </w:p>
    <w:p w14:paraId="334F3A85" w14:textId="77777777" w:rsidR="004B0291" w:rsidRDefault="004B0291" w:rsidP="004B0291">
      <w:pPr>
        <w:pStyle w:val="NoSpacing"/>
        <w:rPr>
          <w:sz w:val="20"/>
        </w:rPr>
      </w:pPr>
    </w:p>
    <w:tbl>
      <w:tblPr>
        <w:tblStyle w:val="TableGrid"/>
        <w:tblW w:w="13915" w:type="dxa"/>
        <w:tblLook w:val="04A0" w:firstRow="1" w:lastRow="0" w:firstColumn="1" w:lastColumn="0" w:noHBand="0" w:noVBand="1"/>
      </w:tblPr>
      <w:tblGrid>
        <w:gridCol w:w="394"/>
        <w:gridCol w:w="2434"/>
        <w:gridCol w:w="995"/>
        <w:gridCol w:w="972"/>
        <w:gridCol w:w="791"/>
        <w:gridCol w:w="989"/>
        <w:gridCol w:w="1969"/>
        <w:gridCol w:w="996"/>
        <w:gridCol w:w="795"/>
        <w:gridCol w:w="794"/>
        <w:gridCol w:w="1386"/>
        <w:gridCol w:w="1400"/>
      </w:tblGrid>
      <w:tr w:rsidR="004B0291" w14:paraId="62E6033A" w14:textId="77777777" w:rsidTr="004B0291">
        <w:trPr>
          <w:cantSplit/>
          <w:trHeight w:val="700"/>
          <w:tblHeader/>
        </w:trPr>
        <w:tc>
          <w:tcPr>
            <w:tcW w:w="394" w:type="dxa"/>
          </w:tcPr>
          <w:p w14:paraId="0184CC26" w14:textId="77777777" w:rsidR="004B0291" w:rsidRPr="004B0291" w:rsidRDefault="004B0291" w:rsidP="004B0291">
            <w:pPr>
              <w:pStyle w:val="NoSpacing"/>
              <w:jc w:val="center"/>
              <w:rPr>
                <w:b/>
                <w:sz w:val="20"/>
              </w:rPr>
            </w:pPr>
            <w:r>
              <w:rPr>
                <w:b/>
                <w:sz w:val="20"/>
              </w:rPr>
              <w:t>#</w:t>
            </w:r>
          </w:p>
        </w:tc>
        <w:tc>
          <w:tcPr>
            <w:tcW w:w="2434" w:type="dxa"/>
          </w:tcPr>
          <w:p w14:paraId="5E987A63" w14:textId="77777777" w:rsidR="004B0291" w:rsidRPr="004B0291" w:rsidRDefault="004B0291" w:rsidP="004B0291">
            <w:pPr>
              <w:pStyle w:val="NoSpacing"/>
              <w:rPr>
                <w:b/>
                <w:sz w:val="20"/>
              </w:rPr>
            </w:pPr>
            <w:r>
              <w:rPr>
                <w:b/>
                <w:sz w:val="20"/>
              </w:rPr>
              <w:t>Transaction Description</w:t>
            </w:r>
          </w:p>
        </w:tc>
        <w:tc>
          <w:tcPr>
            <w:tcW w:w="995" w:type="dxa"/>
          </w:tcPr>
          <w:p w14:paraId="1A9C04BB" w14:textId="77777777" w:rsidR="004B0291" w:rsidRPr="004B0291" w:rsidRDefault="004B0291" w:rsidP="004B0291">
            <w:pPr>
              <w:pStyle w:val="NoSpacing"/>
              <w:rPr>
                <w:b/>
                <w:sz w:val="20"/>
              </w:rPr>
            </w:pPr>
            <w:r>
              <w:rPr>
                <w:b/>
                <w:sz w:val="20"/>
              </w:rPr>
              <w:t>Position Title</w:t>
            </w:r>
          </w:p>
        </w:tc>
        <w:tc>
          <w:tcPr>
            <w:tcW w:w="972" w:type="dxa"/>
          </w:tcPr>
          <w:p w14:paraId="6E6E33ED" w14:textId="77777777" w:rsidR="004B0291" w:rsidRPr="004B0291" w:rsidRDefault="004B0291" w:rsidP="004B0291">
            <w:pPr>
              <w:pStyle w:val="NoSpacing"/>
              <w:rPr>
                <w:b/>
                <w:sz w:val="20"/>
              </w:rPr>
            </w:pPr>
            <w:r>
              <w:rPr>
                <w:b/>
                <w:sz w:val="20"/>
              </w:rPr>
              <w:t>Number of Positions</w:t>
            </w:r>
          </w:p>
        </w:tc>
        <w:tc>
          <w:tcPr>
            <w:tcW w:w="791" w:type="dxa"/>
          </w:tcPr>
          <w:p w14:paraId="14CAFB91" w14:textId="77777777" w:rsidR="004B0291" w:rsidRPr="004B0291" w:rsidRDefault="004B0291" w:rsidP="004B0291">
            <w:pPr>
              <w:pStyle w:val="NoSpacing"/>
              <w:rPr>
                <w:b/>
                <w:sz w:val="20"/>
              </w:rPr>
            </w:pPr>
            <w:r>
              <w:rPr>
                <w:b/>
                <w:sz w:val="20"/>
              </w:rPr>
              <w:t>FTE</w:t>
            </w:r>
          </w:p>
        </w:tc>
        <w:tc>
          <w:tcPr>
            <w:tcW w:w="989" w:type="dxa"/>
          </w:tcPr>
          <w:p w14:paraId="4A21B5E1" w14:textId="77777777" w:rsidR="004B0291" w:rsidRPr="004B0291" w:rsidRDefault="004B0291" w:rsidP="004B0291">
            <w:pPr>
              <w:pStyle w:val="NoSpacing"/>
              <w:rPr>
                <w:b/>
                <w:sz w:val="20"/>
              </w:rPr>
            </w:pPr>
            <w:r>
              <w:rPr>
                <w:b/>
                <w:sz w:val="20"/>
              </w:rPr>
              <w:t>Dept</w:t>
            </w:r>
          </w:p>
        </w:tc>
        <w:tc>
          <w:tcPr>
            <w:tcW w:w="1969" w:type="dxa"/>
          </w:tcPr>
          <w:p w14:paraId="0A4B482A" w14:textId="77777777" w:rsidR="004B0291" w:rsidRPr="004B0291" w:rsidRDefault="004B0291" w:rsidP="004B0291">
            <w:pPr>
              <w:pStyle w:val="NoSpacing"/>
              <w:rPr>
                <w:b/>
                <w:sz w:val="20"/>
              </w:rPr>
            </w:pPr>
            <w:r>
              <w:rPr>
                <w:b/>
                <w:sz w:val="20"/>
              </w:rPr>
              <w:t>BCL or Revenue Source</w:t>
            </w:r>
          </w:p>
        </w:tc>
        <w:tc>
          <w:tcPr>
            <w:tcW w:w="996" w:type="dxa"/>
          </w:tcPr>
          <w:p w14:paraId="051C3B6B" w14:textId="77777777" w:rsidR="004B0291" w:rsidRPr="004B0291" w:rsidRDefault="004B0291" w:rsidP="004B0291">
            <w:pPr>
              <w:pStyle w:val="NoSpacing"/>
              <w:rPr>
                <w:b/>
                <w:sz w:val="20"/>
              </w:rPr>
            </w:pPr>
            <w:r>
              <w:rPr>
                <w:b/>
                <w:sz w:val="20"/>
              </w:rPr>
              <w:t>Summit Code</w:t>
            </w:r>
          </w:p>
        </w:tc>
        <w:tc>
          <w:tcPr>
            <w:tcW w:w="795" w:type="dxa"/>
          </w:tcPr>
          <w:p w14:paraId="27202847" w14:textId="77777777" w:rsidR="004B0291" w:rsidRPr="004B0291" w:rsidRDefault="004B0291" w:rsidP="004B0291">
            <w:pPr>
              <w:pStyle w:val="NoSpacing"/>
              <w:rPr>
                <w:b/>
                <w:sz w:val="20"/>
              </w:rPr>
            </w:pPr>
            <w:r>
              <w:rPr>
                <w:b/>
                <w:sz w:val="20"/>
              </w:rPr>
              <w:t>Fund</w:t>
            </w:r>
          </w:p>
        </w:tc>
        <w:tc>
          <w:tcPr>
            <w:tcW w:w="794" w:type="dxa"/>
          </w:tcPr>
          <w:p w14:paraId="17B5EC4F" w14:textId="77777777" w:rsidR="004B0291" w:rsidRPr="004B0291" w:rsidRDefault="004B0291" w:rsidP="004B0291">
            <w:pPr>
              <w:pStyle w:val="NoSpacing"/>
              <w:rPr>
                <w:b/>
                <w:sz w:val="20"/>
              </w:rPr>
            </w:pPr>
            <w:r>
              <w:rPr>
                <w:b/>
                <w:sz w:val="20"/>
              </w:rPr>
              <w:t>Year</w:t>
            </w:r>
          </w:p>
        </w:tc>
        <w:tc>
          <w:tcPr>
            <w:tcW w:w="1386" w:type="dxa"/>
          </w:tcPr>
          <w:p w14:paraId="3937553C" w14:textId="77777777" w:rsidR="004B0291" w:rsidRPr="004B0291" w:rsidRDefault="004B0291" w:rsidP="004B0291">
            <w:pPr>
              <w:pStyle w:val="NoSpacing"/>
              <w:rPr>
                <w:b/>
                <w:sz w:val="20"/>
              </w:rPr>
            </w:pPr>
            <w:r>
              <w:rPr>
                <w:b/>
                <w:sz w:val="20"/>
              </w:rPr>
              <w:t>Revenue Amount</w:t>
            </w:r>
          </w:p>
        </w:tc>
        <w:tc>
          <w:tcPr>
            <w:tcW w:w="1400" w:type="dxa"/>
          </w:tcPr>
          <w:p w14:paraId="1ACDC407" w14:textId="77777777" w:rsidR="004B0291" w:rsidRPr="004B0291" w:rsidRDefault="004B0291" w:rsidP="004B0291">
            <w:pPr>
              <w:pStyle w:val="NoSpacing"/>
              <w:rPr>
                <w:b/>
                <w:sz w:val="20"/>
              </w:rPr>
            </w:pPr>
            <w:r>
              <w:rPr>
                <w:b/>
                <w:sz w:val="20"/>
              </w:rPr>
              <w:t>Expenditure Amount</w:t>
            </w:r>
          </w:p>
        </w:tc>
      </w:tr>
      <w:tr w:rsidR="004B0291" w14:paraId="685C3C6A" w14:textId="77777777" w:rsidTr="004B0291">
        <w:trPr>
          <w:cantSplit/>
          <w:trHeight w:val="700"/>
          <w:tblHeader/>
        </w:trPr>
        <w:tc>
          <w:tcPr>
            <w:tcW w:w="394" w:type="dxa"/>
          </w:tcPr>
          <w:p w14:paraId="2D16BB3D" w14:textId="77777777" w:rsidR="004B0291" w:rsidRPr="004B0291" w:rsidRDefault="004B0291" w:rsidP="004B0291">
            <w:pPr>
              <w:pStyle w:val="NoSpacing"/>
              <w:rPr>
                <w:sz w:val="20"/>
              </w:rPr>
            </w:pPr>
            <w:r>
              <w:rPr>
                <w:sz w:val="20"/>
              </w:rPr>
              <w:t>1</w:t>
            </w:r>
          </w:p>
        </w:tc>
        <w:tc>
          <w:tcPr>
            <w:tcW w:w="2434" w:type="dxa"/>
          </w:tcPr>
          <w:p w14:paraId="5C19CD9A" w14:textId="77777777" w:rsidR="004B0291" w:rsidRPr="004B0291" w:rsidRDefault="004B0291" w:rsidP="004B0291">
            <w:pPr>
              <w:pStyle w:val="NoSpacing"/>
              <w:rPr>
                <w:sz w:val="20"/>
              </w:rPr>
            </w:pPr>
            <w:r>
              <w:rPr>
                <w:sz w:val="20"/>
              </w:rPr>
              <w:t>Increases appropriation to food banks using SBT funds</w:t>
            </w:r>
          </w:p>
        </w:tc>
        <w:tc>
          <w:tcPr>
            <w:tcW w:w="995" w:type="dxa"/>
          </w:tcPr>
          <w:p w14:paraId="64F180DC" w14:textId="77777777" w:rsidR="004B0291" w:rsidRDefault="004B0291" w:rsidP="004B0291">
            <w:pPr>
              <w:pStyle w:val="NoSpacing"/>
              <w:rPr>
                <w:b/>
                <w:sz w:val="20"/>
              </w:rPr>
            </w:pPr>
          </w:p>
        </w:tc>
        <w:tc>
          <w:tcPr>
            <w:tcW w:w="972" w:type="dxa"/>
          </w:tcPr>
          <w:p w14:paraId="1FE951B0" w14:textId="77777777" w:rsidR="004B0291" w:rsidRDefault="004B0291" w:rsidP="004B0291">
            <w:pPr>
              <w:pStyle w:val="NoSpacing"/>
              <w:rPr>
                <w:b/>
                <w:sz w:val="20"/>
              </w:rPr>
            </w:pPr>
          </w:p>
        </w:tc>
        <w:tc>
          <w:tcPr>
            <w:tcW w:w="791" w:type="dxa"/>
          </w:tcPr>
          <w:p w14:paraId="54EF97A4" w14:textId="77777777" w:rsidR="004B0291" w:rsidRDefault="004B0291" w:rsidP="004B0291">
            <w:pPr>
              <w:pStyle w:val="NoSpacing"/>
              <w:rPr>
                <w:b/>
                <w:sz w:val="20"/>
              </w:rPr>
            </w:pPr>
          </w:p>
        </w:tc>
        <w:tc>
          <w:tcPr>
            <w:tcW w:w="989" w:type="dxa"/>
          </w:tcPr>
          <w:p w14:paraId="06994C18" w14:textId="77777777" w:rsidR="004B0291" w:rsidRPr="004B0291" w:rsidRDefault="004B0291" w:rsidP="004B0291">
            <w:pPr>
              <w:pStyle w:val="NoSpacing"/>
              <w:rPr>
                <w:sz w:val="20"/>
              </w:rPr>
            </w:pPr>
            <w:r>
              <w:rPr>
                <w:sz w:val="20"/>
              </w:rPr>
              <w:t>HSD</w:t>
            </w:r>
          </w:p>
        </w:tc>
        <w:tc>
          <w:tcPr>
            <w:tcW w:w="1969" w:type="dxa"/>
          </w:tcPr>
          <w:p w14:paraId="4208DC35" w14:textId="77777777" w:rsidR="004B0291" w:rsidRPr="004B0291" w:rsidRDefault="004B0291" w:rsidP="004B0291">
            <w:pPr>
              <w:pStyle w:val="NoSpacing"/>
              <w:rPr>
                <w:sz w:val="20"/>
              </w:rPr>
            </w:pPr>
            <w:r>
              <w:rPr>
                <w:sz w:val="20"/>
              </w:rPr>
              <w:t>Supporting Affordability and Livability</w:t>
            </w:r>
          </w:p>
        </w:tc>
        <w:tc>
          <w:tcPr>
            <w:tcW w:w="996" w:type="dxa"/>
          </w:tcPr>
          <w:p w14:paraId="68F4AC87" w14:textId="77777777" w:rsidR="004B0291" w:rsidRPr="004B0291" w:rsidRDefault="004B0291" w:rsidP="004B0291">
            <w:pPr>
              <w:pStyle w:val="NoSpacing"/>
              <w:rPr>
                <w:sz w:val="20"/>
              </w:rPr>
            </w:pPr>
            <w:r>
              <w:rPr>
                <w:sz w:val="20"/>
              </w:rPr>
              <w:t>BO-HS-H1000</w:t>
            </w:r>
          </w:p>
        </w:tc>
        <w:tc>
          <w:tcPr>
            <w:tcW w:w="795" w:type="dxa"/>
          </w:tcPr>
          <w:p w14:paraId="0D8B97A1" w14:textId="77777777" w:rsidR="004B0291" w:rsidRPr="004B0291" w:rsidRDefault="004B0291" w:rsidP="004B0291">
            <w:pPr>
              <w:pStyle w:val="NoSpacing"/>
              <w:rPr>
                <w:sz w:val="20"/>
              </w:rPr>
            </w:pPr>
            <w:r>
              <w:rPr>
                <w:sz w:val="20"/>
              </w:rPr>
              <w:t>00100</w:t>
            </w:r>
          </w:p>
        </w:tc>
        <w:tc>
          <w:tcPr>
            <w:tcW w:w="794" w:type="dxa"/>
          </w:tcPr>
          <w:p w14:paraId="3F44B422" w14:textId="77777777" w:rsidR="004B0291" w:rsidRPr="004B0291" w:rsidRDefault="004B0291" w:rsidP="004B0291">
            <w:pPr>
              <w:pStyle w:val="NoSpacing"/>
              <w:jc w:val="right"/>
              <w:rPr>
                <w:sz w:val="20"/>
              </w:rPr>
            </w:pPr>
            <w:r>
              <w:rPr>
                <w:sz w:val="20"/>
              </w:rPr>
              <w:t>2019</w:t>
            </w:r>
          </w:p>
        </w:tc>
        <w:tc>
          <w:tcPr>
            <w:tcW w:w="1386" w:type="dxa"/>
          </w:tcPr>
          <w:p w14:paraId="49BF627B" w14:textId="77777777" w:rsidR="004B0291" w:rsidRDefault="004B0291" w:rsidP="004B0291">
            <w:pPr>
              <w:pStyle w:val="NoSpacing"/>
              <w:jc w:val="right"/>
              <w:rPr>
                <w:b/>
                <w:sz w:val="20"/>
              </w:rPr>
            </w:pPr>
          </w:p>
        </w:tc>
        <w:tc>
          <w:tcPr>
            <w:tcW w:w="1400" w:type="dxa"/>
          </w:tcPr>
          <w:p w14:paraId="4E31D243" w14:textId="77777777" w:rsidR="004B0291" w:rsidRPr="004B0291" w:rsidRDefault="004B0291" w:rsidP="004B0291">
            <w:pPr>
              <w:pStyle w:val="NoSpacing"/>
              <w:jc w:val="right"/>
              <w:rPr>
                <w:sz w:val="20"/>
              </w:rPr>
            </w:pPr>
            <w:r>
              <w:rPr>
                <w:sz w:val="20"/>
              </w:rPr>
              <w:t>$269,500</w:t>
            </w:r>
          </w:p>
        </w:tc>
      </w:tr>
    </w:tbl>
    <w:p w14:paraId="358693D0" w14:textId="77777777" w:rsidR="004B0291" w:rsidRPr="004B0291" w:rsidRDefault="004B0291" w:rsidP="004B0291">
      <w:pPr>
        <w:pStyle w:val="NoSpacing"/>
        <w:rPr>
          <w:sz w:val="20"/>
        </w:rPr>
      </w:pPr>
    </w:p>
    <w:sectPr w:rsidR="004B0291" w:rsidRPr="004B0291" w:rsidSect="004B0291">
      <w:pgSz w:w="15840" w:h="12240" w:orient="landscape"/>
      <w:pgMar w:top="1200" w:right="1200" w:bottom="2000" w:left="12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F65AB" w14:textId="77777777" w:rsidR="00076345" w:rsidRDefault="00076345" w:rsidP="00F32789">
      <w:r>
        <w:separator/>
      </w:r>
    </w:p>
  </w:endnote>
  <w:endnote w:type="continuationSeparator" w:id="0">
    <w:p w14:paraId="20B54A13" w14:textId="77777777" w:rsidR="00076345" w:rsidRDefault="00076345" w:rsidP="00F32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D674B" w14:textId="77777777" w:rsidR="004B0291" w:rsidRDefault="004B0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0A56D" w14:textId="6827BFDF" w:rsidR="00084C75" w:rsidRPr="00084C75" w:rsidRDefault="004B0291" w:rsidP="004B0291">
    <w:pPr>
      <w:pStyle w:val="Footer"/>
      <w:jc w:val="right"/>
    </w:pPr>
    <w:r>
      <w:t xml:space="preserve">Page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3652E" w14:textId="7CAFFBCC" w:rsidR="004B0291" w:rsidRDefault="004B0291" w:rsidP="004B0291">
    <w:pPr>
      <w:pStyle w:val="Footer"/>
      <w:pBdr>
        <w:top w:val="single" w:sz="4" w:space="1" w:color="auto"/>
      </w:pBdr>
      <w:jc w:val="right"/>
    </w:pPr>
    <w:r>
      <w:t>Page 1 of 3</w:t>
    </w:r>
  </w:p>
  <w:p w14:paraId="084D892E" w14:textId="1EE35266" w:rsidR="004B0291" w:rsidRPr="004B0291" w:rsidRDefault="004B0291" w:rsidP="004B0291">
    <w:pPr>
      <w:pStyle w:val="Footer"/>
      <w:pBdr>
        <w:top w:val="single" w:sz="4" w:space="1" w:color="auto"/>
      </w:pBdr>
      <w:rPr>
        <w:sz w:val="20"/>
      </w:rPr>
    </w:pPr>
    <w:r>
      <w:rPr>
        <w:sz w:val="20"/>
      </w:rPr>
      <w:t xml:space="preserve"> * Note: This action will rescind 14-8-B-1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A34DF" w14:textId="77777777" w:rsidR="00076345" w:rsidRDefault="00076345" w:rsidP="00F32789">
      <w:r>
        <w:separator/>
      </w:r>
    </w:p>
  </w:footnote>
  <w:footnote w:type="continuationSeparator" w:id="0">
    <w:p w14:paraId="64F191DB" w14:textId="77777777" w:rsidR="00076345" w:rsidRDefault="00076345" w:rsidP="00F32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8F8DA" w14:textId="77777777" w:rsidR="004B0291" w:rsidRDefault="004B0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800"/>
      <w:gridCol w:w="800"/>
      <w:gridCol w:w="800"/>
      <w:gridCol w:w="800"/>
    </w:tblGrid>
    <w:tr w:rsidR="004B0291" w14:paraId="1BFDD358" w14:textId="77777777" w:rsidTr="004B0291">
      <w:tc>
        <w:tcPr>
          <w:tcW w:w="800" w:type="dxa"/>
        </w:tcPr>
        <w:p w14:paraId="5073CB35" w14:textId="50CAECF9" w:rsidR="004B0291" w:rsidRPr="004B0291" w:rsidRDefault="004B0291" w:rsidP="004B0291">
          <w:pPr>
            <w:pStyle w:val="Header"/>
            <w:jc w:val="center"/>
            <w:rPr>
              <w:i/>
              <w:sz w:val="18"/>
            </w:rPr>
          </w:pPr>
          <w:r>
            <w:rPr>
              <w:i/>
              <w:sz w:val="18"/>
            </w:rPr>
            <w:t>Tab</w:t>
          </w:r>
        </w:p>
      </w:tc>
      <w:tc>
        <w:tcPr>
          <w:tcW w:w="800" w:type="dxa"/>
        </w:tcPr>
        <w:p w14:paraId="05478C0C" w14:textId="13F1EFE4" w:rsidR="004B0291" w:rsidRPr="004B0291" w:rsidRDefault="004B0291" w:rsidP="004B0291">
          <w:pPr>
            <w:pStyle w:val="Header"/>
            <w:jc w:val="center"/>
            <w:rPr>
              <w:i/>
              <w:sz w:val="18"/>
            </w:rPr>
          </w:pPr>
          <w:r>
            <w:rPr>
              <w:i/>
              <w:sz w:val="18"/>
            </w:rPr>
            <w:t>Action</w:t>
          </w:r>
        </w:p>
      </w:tc>
      <w:tc>
        <w:tcPr>
          <w:tcW w:w="800" w:type="dxa"/>
        </w:tcPr>
        <w:p w14:paraId="24D44908" w14:textId="438CB2BA" w:rsidR="004B0291" w:rsidRPr="004B0291" w:rsidRDefault="004B0291" w:rsidP="004B0291">
          <w:pPr>
            <w:pStyle w:val="Header"/>
            <w:jc w:val="center"/>
            <w:rPr>
              <w:i/>
              <w:sz w:val="18"/>
            </w:rPr>
          </w:pPr>
          <w:r>
            <w:rPr>
              <w:i/>
              <w:sz w:val="18"/>
            </w:rPr>
            <w:t>Option</w:t>
          </w:r>
        </w:p>
      </w:tc>
      <w:tc>
        <w:tcPr>
          <w:tcW w:w="800" w:type="dxa"/>
        </w:tcPr>
        <w:p w14:paraId="7F0272DF" w14:textId="07B16C8E" w:rsidR="004B0291" w:rsidRPr="004B0291" w:rsidRDefault="004B0291" w:rsidP="004B0291">
          <w:pPr>
            <w:pStyle w:val="Header"/>
            <w:jc w:val="center"/>
            <w:rPr>
              <w:i/>
              <w:sz w:val="18"/>
            </w:rPr>
          </w:pPr>
          <w:r>
            <w:rPr>
              <w:i/>
              <w:sz w:val="18"/>
            </w:rPr>
            <w:t>Version</w:t>
          </w:r>
        </w:p>
      </w:tc>
    </w:tr>
    <w:tr w:rsidR="004B0291" w14:paraId="6A22B6C7" w14:textId="77777777" w:rsidTr="004B0291">
      <w:tc>
        <w:tcPr>
          <w:tcW w:w="800" w:type="dxa"/>
        </w:tcPr>
        <w:p w14:paraId="73A19408" w14:textId="3C9E350A" w:rsidR="004B0291" w:rsidRPr="004B0291" w:rsidRDefault="004B0291" w:rsidP="004B0291">
          <w:pPr>
            <w:pStyle w:val="Header"/>
            <w:jc w:val="center"/>
            <w:rPr>
              <w:i/>
              <w:sz w:val="18"/>
            </w:rPr>
          </w:pPr>
          <w:r>
            <w:rPr>
              <w:i/>
              <w:sz w:val="18"/>
            </w:rPr>
            <w:t>14</w:t>
          </w:r>
        </w:p>
      </w:tc>
      <w:tc>
        <w:tcPr>
          <w:tcW w:w="800" w:type="dxa"/>
        </w:tcPr>
        <w:p w14:paraId="18B8F889" w14:textId="1C6595FB" w:rsidR="004B0291" w:rsidRPr="004B0291" w:rsidRDefault="004B0291" w:rsidP="004B0291">
          <w:pPr>
            <w:pStyle w:val="Header"/>
            <w:jc w:val="center"/>
            <w:rPr>
              <w:i/>
              <w:sz w:val="18"/>
            </w:rPr>
          </w:pPr>
          <w:r>
            <w:rPr>
              <w:i/>
              <w:sz w:val="18"/>
            </w:rPr>
            <w:t>8</w:t>
          </w:r>
        </w:p>
      </w:tc>
      <w:tc>
        <w:tcPr>
          <w:tcW w:w="800" w:type="dxa"/>
        </w:tcPr>
        <w:p w14:paraId="0B235C8A" w14:textId="00376D65" w:rsidR="004B0291" w:rsidRPr="004B0291" w:rsidRDefault="004B0291" w:rsidP="004B0291">
          <w:pPr>
            <w:pStyle w:val="Header"/>
            <w:jc w:val="center"/>
            <w:rPr>
              <w:i/>
              <w:sz w:val="18"/>
            </w:rPr>
          </w:pPr>
          <w:r>
            <w:rPr>
              <w:i/>
              <w:sz w:val="18"/>
            </w:rPr>
            <w:t>E</w:t>
          </w:r>
        </w:p>
      </w:tc>
      <w:tc>
        <w:tcPr>
          <w:tcW w:w="800" w:type="dxa"/>
        </w:tcPr>
        <w:p w14:paraId="66A1D985" w14:textId="696C5970" w:rsidR="004B0291" w:rsidRPr="004B0291" w:rsidRDefault="004B0291" w:rsidP="004B0291">
          <w:pPr>
            <w:pStyle w:val="Header"/>
            <w:jc w:val="center"/>
            <w:rPr>
              <w:i/>
              <w:sz w:val="18"/>
            </w:rPr>
          </w:pPr>
          <w:r>
            <w:rPr>
              <w:i/>
              <w:sz w:val="18"/>
            </w:rPr>
            <w:t>1</w:t>
          </w:r>
        </w:p>
      </w:tc>
    </w:tr>
  </w:tbl>
  <w:p w14:paraId="0D53714A" w14:textId="77777777" w:rsidR="004B0291" w:rsidRDefault="004B02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B22A0" w14:textId="77777777" w:rsidR="004B0291" w:rsidRDefault="004B0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405E"/>
    <w:multiLevelType w:val="hybridMultilevel"/>
    <w:tmpl w:val="1A662E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45"/>
    <w:rsid w:val="00051843"/>
    <w:rsid w:val="00076345"/>
    <w:rsid w:val="00084C75"/>
    <w:rsid w:val="004B0291"/>
    <w:rsid w:val="005F5260"/>
    <w:rsid w:val="00653C64"/>
    <w:rsid w:val="00683D55"/>
    <w:rsid w:val="009854F8"/>
    <w:rsid w:val="00A52AB6"/>
    <w:rsid w:val="00A5465A"/>
    <w:rsid w:val="00A746DD"/>
    <w:rsid w:val="00BE1250"/>
    <w:rsid w:val="00C40796"/>
    <w:rsid w:val="00D64EC7"/>
    <w:rsid w:val="00DB29CB"/>
    <w:rsid w:val="00DF162C"/>
    <w:rsid w:val="00F32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84DF5"/>
  <w15:chartTrackingRefBased/>
  <w15:docId w15:val="{D86B9FE6-5507-4A56-AC7D-1B2FF978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D64EC7"/>
    <w:rPr>
      <w:sz w:val="22"/>
      <w:szCs w:val="24"/>
      <w:lang w:bidi="en-US"/>
    </w:rPr>
  </w:style>
  <w:style w:type="paragraph" w:styleId="Heading1">
    <w:name w:val="heading 1"/>
    <w:basedOn w:val="Normal"/>
    <w:next w:val="Normal"/>
    <w:link w:val="Heading1Char"/>
    <w:uiPriority w:val="9"/>
    <w:qFormat/>
    <w:rsid w:val="00084C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84C7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84C7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84C7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84C7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84C75"/>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084C75"/>
    <w:pPr>
      <w:spacing w:before="240" w:after="60"/>
      <w:outlineLvl w:val="6"/>
    </w:pPr>
  </w:style>
  <w:style w:type="paragraph" w:styleId="Heading8">
    <w:name w:val="heading 8"/>
    <w:basedOn w:val="Normal"/>
    <w:next w:val="Normal"/>
    <w:link w:val="Heading8Char"/>
    <w:uiPriority w:val="9"/>
    <w:semiHidden/>
    <w:unhideWhenUsed/>
    <w:qFormat/>
    <w:rsid w:val="00084C75"/>
    <w:pPr>
      <w:spacing w:before="240" w:after="60"/>
      <w:outlineLvl w:val="7"/>
    </w:pPr>
    <w:rPr>
      <w:i/>
      <w:iCs/>
    </w:rPr>
  </w:style>
  <w:style w:type="paragraph" w:styleId="Heading9">
    <w:name w:val="heading 9"/>
    <w:basedOn w:val="Normal"/>
    <w:next w:val="Normal"/>
    <w:link w:val="Heading9Char"/>
    <w:uiPriority w:val="9"/>
    <w:semiHidden/>
    <w:unhideWhenUsed/>
    <w:qFormat/>
    <w:rsid w:val="00084C75"/>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4C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84C75"/>
    <w:pPr>
      <w:tabs>
        <w:tab w:val="center" w:pos="4680"/>
        <w:tab w:val="right" w:pos="9360"/>
      </w:tabs>
    </w:pPr>
  </w:style>
  <w:style w:type="character" w:customStyle="1" w:styleId="HeaderChar">
    <w:name w:val="Header Char"/>
    <w:basedOn w:val="DefaultParagraphFont"/>
    <w:link w:val="Header"/>
    <w:uiPriority w:val="99"/>
    <w:rsid w:val="00084C75"/>
  </w:style>
  <w:style w:type="paragraph" w:styleId="Footer">
    <w:name w:val="footer"/>
    <w:basedOn w:val="Normal"/>
    <w:link w:val="FooterChar"/>
    <w:uiPriority w:val="99"/>
    <w:unhideWhenUsed/>
    <w:rsid w:val="00084C75"/>
    <w:pPr>
      <w:tabs>
        <w:tab w:val="center" w:pos="4680"/>
        <w:tab w:val="right" w:pos="9360"/>
      </w:tabs>
    </w:pPr>
  </w:style>
  <w:style w:type="character" w:customStyle="1" w:styleId="FooterChar">
    <w:name w:val="Footer Char"/>
    <w:basedOn w:val="DefaultParagraphFont"/>
    <w:link w:val="Footer"/>
    <w:uiPriority w:val="99"/>
    <w:rsid w:val="00084C75"/>
  </w:style>
  <w:style w:type="character" w:customStyle="1" w:styleId="Heading1Char">
    <w:name w:val="Heading 1 Char"/>
    <w:basedOn w:val="DefaultParagraphFont"/>
    <w:link w:val="Heading1"/>
    <w:uiPriority w:val="9"/>
    <w:rsid w:val="00084C75"/>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084C75"/>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084C75"/>
    <w:rPr>
      <w:rFonts w:ascii="Cambria" w:eastAsia="Times New Roman" w:hAnsi="Cambria"/>
      <w:b/>
      <w:bCs/>
      <w:sz w:val="26"/>
      <w:szCs w:val="26"/>
    </w:rPr>
  </w:style>
  <w:style w:type="character" w:customStyle="1" w:styleId="Heading4Char">
    <w:name w:val="Heading 4 Char"/>
    <w:basedOn w:val="DefaultParagraphFont"/>
    <w:link w:val="Heading4"/>
    <w:uiPriority w:val="9"/>
    <w:rsid w:val="00084C75"/>
    <w:rPr>
      <w:b/>
      <w:bCs/>
      <w:sz w:val="28"/>
      <w:szCs w:val="28"/>
    </w:rPr>
  </w:style>
  <w:style w:type="character" w:customStyle="1" w:styleId="Heading5Char">
    <w:name w:val="Heading 5 Char"/>
    <w:basedOn w:val="DefaultParagraphFont"/>
    <w:link w:val="Heading5"/>
    <w:uiPriority w:val="9"/>
    <w:semiHidden/>
    <w:rsid w:val="00084C75"/>
    <w:rPr>
      <w:b/>
      <w:bCs/>
      <w:i/>
      <w:iCs/>
      <w:sz w:val="26"/>
      <w:szCs w:val="26"/>
    </w:rPr>
  </w:style>
  <w:style w:type="character" w:customStyle="1" w:styleId="Heading6Char">
    <w:name w:val="Heading 6 Char"/>
    <w:basedOn w:val="DefaultParagraphFont"/>
    <w:link w:val="Heading6"/>
    <w:uiPriority w:val="9"/>
    <w:semiHidden/>
    <w:rsid w:val="00084C75"/>
    <w:rPr>
      <w:b/>
      <w:bCs/>
    </w:rPr>
  </w:style>
  <w:style w:type="character" w:customStyle="1" w:styleId="Heading7Char">
    <w:name w:val="Heading 7 Char"/>
    <w:basedOn w:val="DefaultParagraphFont"/>
    <w:link w:val="Heading7"/>
    <w:uiPriority w:val="9"/>
    <w:semiHidden/>
    <w:rsid w:val="00084C75"/>
    <w:rPr>
      <w:sz w:val="24"/>
      <w:szCs w:val="24"/>
    </w:rPr>
  </w:style>
  <w:style w:type="character" w:customStyle="1" w:styleId="Heading8Char">
    <w:name w:val="Heading 8 Char"/>
    <w:basedOn w:val="DefaultParagraphFont"/>
    <w:link w:val="Heading8"/>
    <w:uiPriority w:val="9"/>
    <w:semiHidden/>
    <w:rsid w:val="00084C75"/>
    <w:rPr>
      <w:i/>
      <w:iCs/>
      <w:sz w:val="24"/>
      <w:szCs w:val="24"/>
    </w:rPr>
  </w:style>
  <w:style w:type="character" w:customStyle="1" w:styleId="Heading9Char">
    <w:name w:val="Heading 9 Char"/>
    <w:basedOn w:val="DefaultParagraphFont"/>
    <w:link w:val="Heading9"/>
    <w:uiPriority w:val="9"/>
    <w:semiHidden/>
    <w:rsid w:val="00084C75"/>
    <w:rPr>
      <w:rFonts w:ascii="Cambria" w:eastAsia="Times New Roman" w:hAnsi="Cambria"/>
    </w:rPr>
  </w:style>
  <w:style w:type="paragraph" w:styleId="Title">
    <w:name w:val="Title"/>
    <w:basedOn w:val="Normal"/>
    <w:next w:val="Normal"/>
    <w:link w:val="TitleChar"/>
    <w:uiPriority w:val="10"/>
    <w:qFormat/>
    <w:rsid w:val="00084C7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084C75"/>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84C75"/>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084C75"/>
    <w:rPr>
      <w:rFonts w:ascii="Cambria" w:eastAsia="Times New Roman" w:hAnsi="Cambria"/>
      <w:sz w:val="24"/>
      <w:szCs w:val="24"/>
    </w:rPr>
  </w:style>
  <w:style w:type="character" w:styleId="Strong">
    <w:name w:val="Strong"/>
    <w:basedOn w:val="DefaultParagraphFont"/>
    <w:uiPriority w:val="22"/>
    <w:qFormat/>
    <w:rsid w:val="00084C75"/>
    <w:rPr>
      <w:b/>
      <w:bCs/>
    </w:rPr>
  </w:style>
  <w:style w:type="character" w:styleId="Emphasis">
    <w:name w:val="Emphasis"/>
    <w:basedOn w:val="DefaultParagraphFont"/>
    <w:uiPriority w:val="20"/>
    <w:qFormat/>
    <w:rsid w:val="00084C75"/>
    <w:rPr>
      <w:rFonts w:ascii="Calibri" w:hAnsi="Calibri"/>
      <w:b/>
      <w:i/>
      <w:iCs/>
    </w:rPr>
  </w:style>
  <w:style w:type="paragraph" w:styleId="NoSpacing">
    <w:name w:val="No Spacing"/>
    <w:basedOn w:val="Normal"/>
    <w:uiPriority w:val="1"/>
    <w:qFormat/>
    <w:rsid w:val="00084C75"/>
    <w:rPr>
      <w:szCs w:val="32"/>
    </w:rPr>
  </w:style>
  <w:style w:type="paragraph" w:styleId="ListParagraph">
    <w:name w:val="List Paragraph"/>
    <w:basedOn w:val="Normal"/>
    <w:uiPriority w:val="34"/>
    <w:qFormat/>
    <w:rsid w:val="00084C75"/>
    <w:pPr>
      <w:ind w:left="720"/>
      <w:contextualSpacing/>
    </w:pPr>
  </w:style>
  <w:style w:type="paragraph" w:styleId="Quote">
    <w:name w:val="Quote"/>
    <w:basedOn w:val="Normal"/>
    <w:next w:val="Normal"/>
    <w:link w:val="QuoteChar"/>
    <w:uiPriority w:val="29"/>
    <w:qFormat/>
    <w:rsid w:val="00084C75"/>
    <w:rPr>
      <w:i/>
    </w:rPr>
  </w:style>
  <w:style w:type="character" w:customStyle="1" w:styleId="QuoteChar">
    <w:name w:val="Quote Char"/>
    <w:basedOn w:val="DefaultParagraphFont"/>
    <w:link w:val="Quote"/>
    <w:uiPriority w:val="29"/>
    <w:rsid w:val="00084C75"/>
    <w:rPr>
      <w:i/>
      <w:sz w:val="24"/>
      <w:szCs w:val="24"/>
    </w:rPr>
  </w:style>
  <w:style w:type="paragraph" w:styleId="IntenseQuote">
    <w:name w:val="Intense Quote"/>
    <w:basedOn w:val="Normal"/>
    <w:next w:val="Normal"/>
    <w:link w:val="IntenseQuoteChar"/>
    <w:uiPriority w:val="30"/>
    <w:qFormat/>
    <w:rsid w:val="00084C75"/>
    <w:pPr>
      <w:ind w:left="720" w:right="720"/>
    </w:pPr>
    <w:rPr>
      <w:b/>
      <w:i/>
      <w:szCs w:val="22"/>
    </w:rPr>
  </w:style>
  <w:style w:type="character" w:customStyle="1" w:styleId="IntenseQuoteChar">
    <w:name w:val="Intense Quote Char"/>
    <w:basedOn w:val="DefaultParagraphFont"/>
    <w:link w:val="IntenseQuote"/>
    <w:uiPriority w:val="30"/>
    <w:rsid w:val="00084C75"/>
    <w:rPr>
      <w:b/>
      <w:i/>
      <w:sz w:val="24"/>
    </w:rPr>
  </w:style>
  <w:style w:type="character" w:styleId="SubtleEmphasis">
    <w:name w:val="Subtle Emphasis"/>
    <w:uiPriority w:val="19"/>
    <w:qFormat/>
    <w:rsid w:val="00084C75"/>
    <w:rPr>
      <w:i/>
      <w:color w:val="5A5A5A"/>
    </w:rPr>
  </w:style>
  <w:style w:type="character" w:styleId="IntenseEmphasis">
    <w:name w:val="Intense Emphasis"/>
    <w:basedOn w:val="DefaultParagraphFont"/>
    <w:uiPriority w:val="21"/>
    <w:qFormat/>
    <w:rsid w:val="00084C75"/>
    <w:rPr>
      <w:b/>
      <w:i/>
      <w:sz w:val="24"/>
      <w:szCs w:val="24"/>
      <w:u w:val="single"/>
    </w:rPr>
  </w:style>
  <w:style w:type="character" w:styleId="SubtleReference">
    <w:name w:val="Subtle Reference"/>
    <w:basedOn w:val="DefaultParagraphFont"/>
    <w:uiPriority w:val="31"/>
    <w:qFormat/>
    <w:rsid w:val="00084C75"/>
    <w:rPr>
      <w:sz w:val="24"/>
      <w:szCs w:val="24"/>
      <w:u w:val="single"/>
    </w:rPr>
  </w:style>
  <w:style w:type="character" w:styleId="IntenseReference">
    <w:name w:val="Intense Reference"/>
    <w:basedOn w:val="DefaultParagraphFont"/>
    <w:uiPriority w:val="32"/>
    <w:qFormat/>
    <w:rsid w:val="00084C75"/>
    <w:rPr>
      <w:b/>
      <w:sz w:val="24"/>
      <w:u w:val="single"/>
    </w:rPr>
  </w:style>
  <w:style w:type="character" w:styleId="BookTitle">
    <w:name w:val="Book Title"/>
    <w:basedOn w:val="DefaultParagraphFont"/>
    <w:uiPriority w:val="33"/>
    <w:qFormat/>
    <w:rsid w:val="00084C75"/>
    <w:rPr>
      <w:rFonts w:ascii="Cambria" w:eastAsia="Times New Roman" w:hAnsi="Cambria"/>
      <w:b/>
      <w:i/>
      <w:sz w:val="24"/>
      <w:szCs w:val="24"/>
    </w:rPr>
  </w:style>
  <w:style w:type="paragraph" w:styleId="TOCHeading">
    <w:name w:val="TOC Heading"/>
    <w:basedOn w:val="Heading1"/>
    <w:next w:val="Normal"/>
    <w:uiPriority w:val="39"/>
    <w:semiHidden/>
    <w:unhideWhenUsed/>
    <w:qFormat/>
    <w:rsid w:val="00084C7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ity%20of%20Seattle\CBISWin7O365\CBIS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CBISWord.dotx</Template>
  <TotalTime>0</TotalTime>
  <Pages>3</Pages>
  <Words>427</Words>
  <Characters>2523</Characters>
  <Application>Microsoft Office Word</Application>
  <DocSecurity>0</DocSecurity>
  <Lines>210</Lines>
  <Paragraphs>101</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Wigren, Patrick</dc:creator>
  <cp:keywords/>
  <dc:description/>
  <cp:lastModifiedBy>Wigren, Patrick</cp:lastModifiedBy>
  <cp:revision>2</cp:revision>
  <dcterms:created xsi:type="dcterms:W3CDTF">2018-11-19T18:02:00Z</dcterms:created>
  <dcterms:modified xsi:type="dcterms:W3CDTF">2018-11-19T18:02:00Z</dcterms:modified>
</cp:coreProperties>
</file>